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05DCB" w14:paraId="3EA40AA8" w14:textId="77777777" w:rsidTr="00305DCB">
        <w:tc>
          <w:tcPr>
            <w:tcW w:w="9322" w:type="dxa"/>
          </w:tcPr>
          <w:p w14:paraId="65508A40" w14:textId="77777777" w:rsidR="00305DCB" w:rsidRPr="00657375" w:rsidRDefault="00305DCB" w:rsidP="00FB6756">
            <w:pPr>
              <w:pStyle w:val="Heading1"/>
              <w:ind w:right="-288"/>
              <w:outlineLvl w:val="0"/>
              <w:rPr>
                <w:rFonts w:cs="Arial"/>
                <w:caps/>
                <w:szCs w:val="28"/>
              </w:rPr>
            </w:pPr>
            <w:r w:rsidRPr="00657375">
              <w:rPr>
                <w:rFonts w:cs="Arial"/>
                <w:caps/>
                <w:szCs w:val="28"/>
              </w:rPr>
              <w:t>STROUD DISTRICT COUNCIL</w:t>
            </w:r>
          </w:p>
          <w:p w14:paraId="5DD49449" w14:textId="77777777" w:rsidR="00305DCB" w:rsidRPr="00657375" w:rsidRDefault="00305DCB" w:rsidP="00FB6756">
            <w:pPr>
              <w:ind w:right="-288"/>
              <w:jc w:val="center"/>
              <w:rPr>
                <w:rFonts w:cs="Arial"/>
                <w:b/>
                <w:bCs/>
                <w:caps/>
                <w:sz w:val="28"/>
                <w:szCs w:val="28"/>
              </w:rPr>
            </w:pPr>
          </w:p>
          <w:p w14:paraId="3F49A8F5" w14:textId="77777777" w:rsidR="00305DCB" w:rsidRPr="00657375" w:rsidRDefault="00305DCB" w:rsidP="00FB6756">
            <w:pPr>
              <w:pStyle w:val="Heading2"/>
              <w:ind w:right="-288"/>
              <w:outlineLvl w:val="1"/>
              <w:rPr>
                <w:rFonts w:cs="Arial"/>
                <w:i w:val="0"/>
                <w:caps/>
                <w:szCs w:val="28"/>
              </w:rPr>
            </w:pPr>
            <w:r>
              <w:rPr>
                <w:rFonts w:cs="Arial"/>
                <w:i w:val="0"/>
                <w:caps/>
                <w:szCs w:val="28"/>
              </w:rPr>
              <w:t>COUNCIL</w:t>
            </w:r>
          </w:p>
          <w:p w14:paraId="07E3A330" w14:textId="77777777" w:rsidR="00305DCB" w:rsidRPr="00657375" w:rsidRDefault="00305DCB" w:rsidP="00FB6756">
            <w:pPr>
              <w:ind w:right="-288"/>
              <w:jc w:val="center"/>
              <w:rPr>
                <w:rFonts w:cs="Arial"/>
                <w:b/>
                <w:bCs/>
                <w:caps/>
                <w:sz w:val="28"/>
                <w:szCs w:val="28"/>
              </w:rPr>
            </w:pPr>
          </w:p>
          <w:p w14:paraId="42F8164B" w14:textId="4985E4D5" w:rsidR="00305DCB" w:rsidRPr="00C17FAA" w:rsidRDefault="00FB6756" w:rsidP="00FB6756">
            <w:pPr>
              <w:pStyle w:val="Heading2"/>
              <w:ind w:right="-288"/>
              <w:outlineLvl w:val="1"/>
              <w:rPr>
                <w:rFonts w:cs="Arial"/>
                <w:i w:val="0"/>
                <w:caps/>
                <w:szCs w:val="28"/>
              </w:rPr>
            </w:pPr>
            <w:r>
              <w:rPr>
                <w:rFonts w:cs="Arial"/>
                <w:i w:val="0"/>
                <w:caps/>
                <w:szCs w:val="28"/>
              </w:rPr>
              <w:t xml:space="preserve">THURSDAY, </w:t>
            </w:r>
            <w:r w:rsidR="00D34666" w:rsidRPr="00D34666">
              <w:rPr>
                <w:rFonts w:cs="Arial"/>
                <w:i w:val="0"/>
                <w:caps/>
                <w:szCs w:val="28"/>
              </w:rPr>
              <w:t>20 OCTOBER 2022</w:t>
            </w:r>
          </w:p>
        </w:tc>
      </w:tr>
    </w:tbl>
    <w:p w14:paraId="36399684" w14:textId="77777777" w:rsidR="00794C54" w:rsidRDefault="00794C54" w:rsidP="00794C5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6"/>
        <w:gridCol w:w="33"/>
        <w:gridCol w:w="1833"/>
        <w:gridCol w:w="1688"/>
        <w:gridCol w:w="1832"/>
        <w:gridCol w:w="1751"/>
      </w:tblGrid>
      <w:tr w:rsidR="00794C54" w:rsidRPr="00954EE2" w14:paraId="6CFFFE47" w14:textId="77777777" w:rsidTr="00FB6756">
        <w:tc>
          <w:tcPr>
            <w:tcW w:w="2802" w:type="dxa"/>
          </w:tcPr>
          <w:p w14:paraId="5A50045E" w14:textId="77777777" w:rsidR="00794C54" w:rsidRPr="005130FB" w:rsidRDefault="00794C54" w:rsidP="005E552F">
            <w:pPr>
              <w:pStyle w:val="Heading4"/>
              <w:rPr>
                <w:rFonts w:cs="Arial"/>
                <w:sz w:val="24"/>
              </w:rPr>
            </w:pPr>
            <w:r w:rsidRPr="005130FB">
              <w:rPr>
                <w:rFonts w:cs="Arial"/>
                <w:sz w:val="24"/>
                <w:szCs w:val="24"/>
              </w:rPr>
              <w:t>Report Title</w:t>
            </w:r>
          </w:p>
        </w:tc>
        <w:tc>
          <w:tcPr>
            <w:tcW w:w="7116" w:type="dxa"/>
            <w:gridSpan w:val="5"/>
          </w:tcPr>
          <w:p w14:paraId="4AC46FC0" w14:textId="77777777" w:rsidR="00794C54" w:rsidRPr="00FB6756" w:rsidRDefault="002E5ABE" w:rsidP="005E552F">
            <w:pPr>
              <w:rPr>
                <w:rFonts w:ascii="Arial Bold" w:hAnsi="Arial Bold" w:cs="Arial"/>
                <w:b/>
                <w:bCs/>
                <w:iCs/>
                <w:caps/>
                <w:sz w:val="24"/>
              </w:rPr>
            </w:pPr>
            <w:r w:rsidRPr="00FB6756">
              <w:rPr>
                <w:rFonts w:ascii="Arial Bold" w:hAnsi="Arial Bold" w:cs="Arial"/>
                <w:b/>
                <w:bCs/>
                <w:iCs/>
                <w:caps/>
                <w:sz w:val="24"/>
              </w:rPr>
              <w:t>Community Governance Review for Stroud District</w:t>
            </w:r>
          </w:p>
        </w:tc>
      </w:tr>
      <w:tr w:rsidR="00794C54" w:rsidRPr="00954EE2" w14:paraId="44D42E52" w14:textId="77777777" w:rsidTr="00FB6756">
        <w:tc>
          <w:tcPr>
            <w:tcW w:w="2802" w:type="dxa"/>
          </w:tcPr>
          <w:p w14:paraId="33CAC85B" w14:textId="77777777" w:rsidR="00794C54" w:rsidRPr="00954EE2" w:rsidRDefault="00794C54" w:rsidP="005E552F">
            <w:pPr>
              <w:pStyle w:val="Heading4"/>
              <w:rPr>
                <w:rFonts w:cs="Arial"/>
                <w:sz w:val="24"/>
              </w:rPr>
            </w:pPr>
            <w:r w:rsidRPr="005130FB">
              <w:rPr>
                <w:rFonts w:cs="Arial"/>
                <w:sz w:val="24"/>
                <w:szCs w:val="24"/>
              </w:rPr>
              <w:t>Purpose of Report</w:t>
            </w:r>
          </w:p>
        </w:tc>
        <w:tc>
          <w:tcPr>
            <w:tcW w:w="7116" w:type="dxa"/>
            <w:gridSpan w:val="5"/>
          </w:tcPr>
          <w:p w14:paraId="395ED73E" w14:textId="01A50718" w:rsidR="00484DDB" w:rsidRDefault="002E5ABE" w:rsidP="00A26D2C">
            <w:pPr>
              <w:jc w:val="both"/>
              <w:rPr>
                <w:rFonts w:cs="Arial"/>
                <w:sz w:val="24"/>
              </w:rPr>
            </w:pPr>
            <w:r>
              <w:rPr>
                <w:rFonts w:cs="Arial"/>
                <w:sz w:val="24"/>
              </w:rPr>
              <w:t>To seek approval of Council to carry out a Community Governance Review for</w:t>
            </w:r>
            <w:r w:rsidR="00C902C1">
              <w:rPr>
                <w:rFonts w:cs="Arial"/>
                <w:sz w:val="24"/>
              </w:rPr>
              <w:t xml:space="preserve"> the following </w:t>
            </w:r>
            <w:r w:rsidR="00484DDB">
              <w:rPr>
                <w:rFonts w:cs="Arial"/>
                <w:sz w:val="24"/>
              </w:rPr>
              <w:t xml:space="preserve">Town and </w:t>
            </w:r>
            <w:r w:rsidR="00C902C1">
              <w:rPr>
                <w:rFonts w:cs="Arial"/>
                <w:sz w:val="24"/>
              </w:rPr>
              <w:t>Parish</w:t>
            </w:r>
            <w:r w:rsidR="00484DDB">
              <w:rPr>
                <w:rFonts w:cs="Arial"/>
                <w:sz w:val="24"/>
              </w:rPr>
              <w:t xml:space="preserve"> Council areas</w:t>
            </w:r>
            <w:r w:rsidR="00C902C1">
              <w:rPr>
                <w:rFonts w:cs="Arial"/>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3147"/>
            </w:tblGrid>
            <w:tr w:rsidR="00484DDB" w14:paraId="70AE67A5" w14:textId="77777777" w:rsidTr="00FB6756">
              <w:tc>
                <w:tcPr>
                  <w:tcW w:w="3469" w:type="dxa"/>
                </w:tcPr>
                <w:p w14:paraId="40A6ACF3" w14:textId="3D7E7261" w:rsidR="00484DDB" w:rsidRPr="00331C1B" w:rsidRDefault="00484DDB" w:rsidP="00FB6756">
                  <w:pPr>
                    <w:ind w:left="-38"/>
                    <w:jc w:val="both"/>
                    <w:rPr>
                      <w:rFonts w:cs="Arial"/>
                      <w:sz w:val="24"/>
                    </w:rPr>
                  </w:pPr>
                  <w:r w:rsidRPr="00331C1B">
                    <w:rPr>
                      <w:rFonts w:cs="Arial"/>
                      <w:sz w:val="24"/>
                    </w:rPr>
                    <w:t>Cam</w:t>
                  </w:r>
                </w:p>
              </w:tc>
              <w:tc>
                <w:tcPr>
                  <w:tcW w:w="3147" w:type="dxa"/>
                </w:tcPr>
                <w:p w14:paraId="5545C549" w14:textId="50FD6A20" w:rsidR="00484DDB" w:rsidRPr="00331C1B" w:rsidRDefault="00484DDB" w:rsidP="00A26D2C">
                  <w:pPr>
                    <w:jc w:val="both"/>
                    <w:rPr>
                      <w:rFonts w:cs="Arial"/>
                      <w:sz w:val="24"/>
                    </w:rPr>
                  </w:pPr>
                  <w:r w:rsidRPr="00331C1B">
                    <w:rPr>
                      <w:rFonts w:cs="Arial"/>
                      <w:sz w:val="24"/>
                    </w:rPr>
                    <w:t>Minchinhampton</w:t>
                  </w:r>
                </w:p>
              </w:tc>
            </w:tr>
            <w:tr w:rsidR="00484DDB" w14:paraId="7AB20577" w14:textId="77777777" w:rsidTr="00FB6756">
              <w:tc>
                <w:tcPr>
                  <w:tcW w:w="3469" w:type="dxa"/>
                </w:tcPr>
                <w:p w14:paraId="6DCB14E2" w14:textId="597D8ECC" w:rsidR="00484DDB" w:rsidRPr="00331C1B" w:rsidRDefault="00484DDB" w:rsidP="00FB6756">
                  <w:pPr>
                    <w:ind w:left="-38"/>
                    <w:jc w:val="both"/>
                    <w:rPr>
                      <w:rFonts w:cs="Arial"/>
                      <w:sz w:val="24"/>
                    </w:rPr>
                  </w:pPr>
                  <w:r w:rsidRPr="00331C1B">
                    <w:rPr>
                      <w:rFonts w:cs="Arial"/>
                      <w:sz w:val="24"/>
                    </w:rPr>
                    <w:t>Dursley</w:t>
                  </w:r>
                </w:p>
              </w:tc>
              <w:tc>
                <w:tcPr>
                  <w:tcW w:w="3147" w:type="dxa"/>
                </w:tcPr>
                <w:p w14:paraId="22ED0A54" w14:textId="18E9E6CB" w:rsidR="00484DDB" w:rsidRPr="00331C1B" w:rsidRDefault="00484DDB" w:rsidP="00A26D2C">
                  <w:pPr>
                    <w:jc w:val="both"/>
                    <w:rPr>
                      <w:rFonts w:cs="Arial"/>
                      <w:sz w:val="24"/>
                    </w:rPr>
                  </w:pPr>
                  <w:r w:rsidRPr="00331C1B">
                    <w:rPr>
                      <w:rFonts w:cs="Arial"/>
                      <w:sz w:val="24"/>
                    </w:rPr>
                    <w:t>Nailsworth</w:t>
                  </w:r>
                </w:p>
              </w:tc>
            </w:tr>
            <w:tr w:rsidR="00484DDB" w14:paraId="07BF8C3F" w14:textId="77777777" w:rsidTr="00FB6756">
              <w:tc>
                <w:tcPr>
                  <w:tcW w:w="3469" w:type="dxa"/>
                </w:tcPr>
                <w:p w14:paraId="1A8894FA" w14:textId="3F760BE7" w:rsidR="00484DDB" w:rsidRPr="00331C1B" w:rsidRDefault="00484DDB" w:rsidP="00FB6756">
                  <w:pPr>
                    <w:ind w:left="-38"/>
                    <w:jc w:val="both"/>
                    <w:rPr>
                      <w:rFonts w:cs="Arial"/>
                      <w:sz w:val="24"/>
                    </w:rPr>
                  </w:pPr>
                  <w:r w:rsidRPr="00331C1B">
                    <w:rPr>
                      <w:rFonts w:cs="Arial"/>
                      <w:sz w:val="24"/>
                    </w:rPr>
                    <w:t>Eastington</w:t>
                  </w:r>
                </w:p>
              </w:tc>
              <w:tc>
                <w:tcPr>
                  <w:tcW w:w="3147" w:type="dxa"/>
                </w:tcPr>
                <w:p w14:paraId="04C80048" w14:textId="5D8910B5" w:rsidR="00484DDB" w:rsidRPr="00331C1B" w:rsidRDefault="00484DDB" w:rsidP="00A26D2C">
                  <w:pPr>
                    <w:jc w:val="both"/>
                    <w:rPr>
                      <w:rFonts w:cs="Arial"/>
                      <w:sz w:val="24"/>
                    </w:rPr>
                  </w:pPr>
                  <w:r w:rsidRPr="00331C1B">
                    <w:rPr>
                      <w:rFonts w:cs="Arial"/>
                      <w:sz w:val="24"/>
                    </w:rPr>
                    <w:t>Standish</w:t>
                  </w:r>
                </w:p>
              </w:tc>
            </w:tr>
            <w:tr w:rsidR="00484DDB" w14:paraId="3EB8574E" w14:textId="77777777" w:rsidTr="00FB6756">
              <w:tc>
                <w:tcPr>
                  <w:tcW w:w="3469" w:type="dxa"/>
                </w:tcPr>
                <w:p w14:paraId="5A74084E" w14:textId="47F5D9B9" w:rsidR="00484DDB" w:rsidRPr="00331C1B" w:rsidRDefault="00484DDB" w:rsidP="00FB6756">
                  <w:pPr>
                    <w:ind w:left="-38"/>
                    <w:jc w:val="both"/>
                    <w:rPr>
                      <w:rFonts w:cs="Arial"/>
                      <w:sz w:val="24"/>
                    </w:rPr>
                  </w:pPr>
                  <w:r w:rsidRPr="00331C1B">
                    <w:rPr>
                      <w:rFonts w:cs="Arial"/>
                      <w:sz w:val="24"/>
                    </w:rPr>
                    <w:t>Frampton</w:t>
                  </w:r>
                </w:p>
              </w:tc>
              <w:tc>
                <w:tcPr>
                  <w:tcW w:w="3147" w:type="dxa"/>
                </w:tcPr>
                <w:p w14:paraId="306F73C0" w14:textId="37185BD8" w:rsidR="00484DDB" w:rsidRPr="00331C1B" w:rsidRDefault="00484DDB" w:rsidP="00A26D2C">
                  <w:pPr>
                    <w:jc w:val="both"/>
                    <w:rPr>
                      <w:rFonts w:cs="Arial"/>
                      <w:sz w:val="24"/>
                    </w:rPr>
                  </w:pPr>
                  <w:r w:rsidRPr="00331C1B">
                    <w:rPr>
                      <w:rFonts w:cs="Arial"/>
                      <w:sz w:val="24"/>
                    </w:rPr>
                    <w:t>Stonehouse</w:t>
                  </w:r>
                </w:p>
              </w:tc>
            </w:tr>
            <w:tr w:rsidR="00484DDB" w14:paraId="21924B30" w14:textId="77777777" w:rsidTr="00FB6756">
              <w:tc>
                <w:tcPr>
                  <w:tcW w:w="3469" w:type="dxa"/>
                </w:tcPr>
                <w:p w14:paraId="40FA1AE9" w14:textId="3CD24F82" w:rsidR="00484DDB" w:rsidRPr="00331C1B" w:rsidRDefault="00484DDB" w:rsidP="00FB6756">
                  <w:pPr>
                    <w:ind w:left="-38"/>
                    <w:jc w:val="both"/>
                    <w:rPr>
                      <w:rFonts w:cs="Arial"/>
                      <w:sz w:val="24"/>
                    </w:rPr>
                  </w:pPr>
                  <w:r w:rsidRPr="00331C1B">
                    <w:rPr>
                      <w:rFonts w:cs="Arial"/>
                      <w:sz w:val="24"/>
                    </w:rPr>
                    <w:t>Horsley</w:t>
                  </w:r>
                </w:p>
              </w:tc>
              <w:tc>
                <w:tcPr>
                  <w:tcW w:w="3147" w:type="dxa"/>
                </w:tcPr>
                <w:p w14:paraId="55E732BC" w14:textId="459DE67B" w:rsidR="00484DDB" w:rsidRPr="00331C1B" w:rsidRDefault="00484DDB" w:rsidP="00A26D2C">
                  <w:pPr>
                    <w:jc w:val="both"/>
                    <w:rPr>
                      <w:rFonts w:cs="Arial"/>
                      <w:sz w:val="24"/>
                    </w:rPr>
                  </w:pPr>
                  <w:r w:rsidRPr="00331C1B">
                    <w:rPr>
                      <w:rFonts w:cs="Arial"/>
                      <w:sz w:val="24"/>
                    </w:rPr>
                    <w:t>Woodchester</w:t>
                  </w:r>
                </w:p>
              </w:tc>
            </w:tr>
            <w:tr w:rsidR="00484DDB" w14:paraId="07300905" w14:textId="77777777" w:rsidTr="00FB6756">
              <w:tc>
                <w:tcPr>
                  <w:tcW w:w="3469" w:type="dxa"/>
                </w:tcPr>
                <w:p w14:paraId="7D2BF5B9" w14:textId="428A055D" w:rsidR="00484DDB" w:rsidRDefault="00484DDB" w:rsidP="00FB6756">
                  <w:pPr>
                    <w:ind w:left="-38"/>
                    <w:jc w:val="both"/>
                    <w:rPr>
                      <w:rFonts w:cs="Arial"/>
                      <w:sz w:val="24"/>
                    </w:rPr>
                  </w:pPr>
                  <w:r>
                    <w:rPr>
                      <w:rFonts w:cs="Arial"/>
                      <w:sz w:val="24"/>
                    </w:rPr>
                    <w:t>Hunts Grove</w:t>
                  </w:r>
                </w:p>
              </w:tc>
              <w:tc>
                <w:tcPr>
                  <w:tcW w:w="3147" w:type="dxa"/>
                </w:tcPr>
                <w:p w14:paraId="1A7EA296" w14:textId="77777777" w:rsidR="00484DDB" w:rsidRDefault="00484DDB" w:rsidP="00A26D2C">
                  <w:pPr>
                    <w:jc w:val="both"/>
                    <w:rPr>
                      <w:rFonts w:cs="Arial"/>
                      <w:sz w:val="24"/>
                    </w:rPr>
                  </w:pPr>
                </w:p>
              </w:tc>
            </w:tr>
          </w:tbl>
          <w:p w14:paraId="75AE8FEB" w14:textId="77777777" w:rsidR="00794C54" w:rsidRPr="00954EE2" w:rsidRDefault="00794C54" w:rsidP="00C300F0"/>
        </w:tc>
      </w:tr>
      <w:tr w:rsidR="00794C54" w:rsidRPr="00954EE2" w14:paraId="5BFB2AF8" w14:textId="77777777" w:rsidTr="00FB6756">
        <w:tc>
          <w:tcPr>
            <w:tcW w:w="2802" w:type="dxa"/>
          </w:tcPr>
          <w:p w14:paraId="1B01D4AF" w14:textId="77777777" w:rsidR="00794C54" w:rsidRPr="00954EE2" w:rsidRDefault="00794C54" w:rsidP="005E552F">
            <w:pPr>
              <w:rPr>
                <w:rFonts w:cs="Arial"/>
                <w:sz w:val="24"/>
              </w:rPr>
            </w:pPr>
            <w:r w:rsidRPr="005130FB">
              <w:rPr>
                <w:rFonts w:cs="Arial"/>
                <w:b/>
                <w:bCs/>
                <w:sz w:val="24"/>
              </w:rPr>
              <w:t>Decision(s)</w:t>
            </w:r>
          </w:p>
        </w:tc>
        <w:tc>
          <w:tcPr>
            <w:tcW w:w="7116" w:type="dxa"/>
            <w:gridSpan w:val="5"/>
          </w:tcPr>
          <w:p w14:paraId="30490FB2" w14:textId="77777777" w:rsidR="00D756E4" w:rsidRPr="00D756E4" w:rsidRDefault="00D756E4" w:rsidP="00D756E4">
            <w:pPr>
              <w:jc w:val="both"/>
              <w:rPr>
                <w:rFonts w:cs="Arial"/>
                <w:b/>
                <w:sz w:val="24"/>
              </w:rPr>
            </w:pPr>
            <w:r w:rsidRPr="00D756E4">
              <w:rPr>
                <w:rFonts w:cs="Arial"/>
                <w:b/>
                <w:sz w:val="24"/>
              </w:rPr>
              <w:t>Council RESOLVES:</w:t>
            </w:r>
          </w:p>
          <w:p w14:paraId="7DEBFC7F" w14:textId="5E7171C4" w:rsidR="00A26D2C" w:rsidRPr="00A1113D" w:rsidRDefault="00360DCD" w:rsidP="00305DCB">
            <w:pPr>
              <w:pStyle w:val="ListParagraph"/>
              <w:numPr>
                <w:ilvl w:val="0"/>
                <w:numId w:val="12"/>
              </w:numPr>
              <w:ind w:left="598"/>
              <w:jc w:val="both"/>
              <w:rPr>
                <w:rFonts w:cs="Arial"/>
                <w:b/>
                <w:sz w:val="24"/>
              </w:rPr>
            </w:pPr>
            <w:r w:rsidRPr="00305DCB">
              <w:rPr>
                <w:rFonts w:cs="Arial"/>
                <w:b/>
                <w:sz w:val="24"/>
              </w:rPr>
              <w:t>T</w:t>
            </w:r>
            <w:r w:rsidR="00945159" w:rsidRPr="00305DCB">
              <w:rPr>
                <w:rFonts w:cs="Arial"/>
                <w:b/>
                <w:sz w:val="24"/>
              </w:rPr>
              <w:t>hat</w:t>
            </w:r>
            <w:r w:rsidR="00227EB6" w:rsidRPr="00305DCB">
              <w:rPr>
                <w:rFonts w:cs="Arial"/>
                <w:b/>
                <w:sz w:val="24"/>
              </w:rPr>
              <w:t xml:space="preserve"> in accordance with the Local Government and Public Involvement in Health A</w:t>
            </w:r>
            <w:r w:rsidR="00774351" w:rsidRPr="00305DCB">
              <w:rPr>
                <w:rFonts w:cs="Arial"/>
                <w:b/>
                <w:sz w:val="24"/>
              </w:rPr>
              <w:t>ct</w:t>
            </w:r>
            <w:r w:rsidR="00227EB6" w:rsidRPr="00305DCB">
              <w:rPr>
                <w:rFonts w:cs="Arial"/>
                <w:b/>
                <w:sz w:val="24"/>
              </w:rPr>
              <w:t xml:space="preserve"> 2007,</w:t>
            </w:r>
            <w:r w:rsidR="00945159" w:rsidRPr="00305DCB">
              <w:rPr>
                <w:rFonts w:cs="Arial"/>
                <w:b/>
                <w:sz w:val="24"/>
              </w:rPr>
              <w:t xml:space="preserve"> a </w:t>
            </w:r>
            <w:r w:rsidR="00945159" w:rsidRPr="00A1113D">
              <w:rPr>
                <w:rFonts w:cs="Arial"/>
                <w:b/>
                <w:sz w:val="24"/>
              </w:rPr>
              <w:t>Community Governance Review</w:t>
            </w:r>
            <w:r w:rsidR="005B4A93" w:rsidRPr="00A1113D">
              <w:rPr>
                <w:rFonts w:cs="Arial"/>
                <w:b/>
                <w:sz w:val="24"/>
              </w:rPr>
              <w:t xml:space="preserve"> be</w:t>
            </w:r>
            <w:r w:rsidR="00945159" w:rsidRPr="00A1113D">
              <w:rPr>
                <w:rFonts w:cs="Arial"/>
                <w:b/>
                <w:sz w:val="24"/>
              </w:rPr>
              <w:t xml:space="preserve"> </w:t>
            </w:r>
            <w:r w:rsidRPr="00A1113D">
              <w:rPr>
                <w:rFonts w:cs="Arial"/>
                <w:b/>
                <w:sz w:val="24"/>
              </w:rPr>
              <w:t xml:space="preserve">undertaken for </w:t>
            </w:r>
            <w:r w:rsidR="00C902C1" w:rsidRPr="00A1113D">
              <w:rPr>
                <w:rFonts w:cs="Arial"/>
                <w:b/>
                <w:sz w:val="24"/>
              </w:rPr>
              <w:t>the Parish</w:t>
            </w:r>
            <w:r w:rsidR="00BD32FA">
              <w:rPr>
                <w:rFonts w:cs="Arial"/>
                <w:b/>
                <w:sz w:val="24"/>
              </w:rPr>
              <w:t xml:space="preserve"> and Town Council areas</w:t>
            </w:r>
            <w:r w:rsidR="00C902C1" w:rsidRPr="00A1113D">
              <w:rPr>
                <w:rFonts w:cs="Arial"/>
                <w:b/>
                <w:sz w:val="24"/>
              </w:rPr>
              <w:t xml:space="preserve"> of Cam, Dursley, </w:t>
            </w:r>
            <w:r w:rsidR="00C902C1" w:rsidRPr="00331C1B">
              <w:rPr>
                <w:rFonts w:cs="Arial"/>
                <w:b/>
                <w:sz w:val="24"/>
              </w:rPr>
              <w:t xml:space="preserve">Eastington, </w:t>
            </w:r>
            <w:r w:rsidR="00A1113D" w:rsidRPr="00331C1B">
              <w:rPr>
                <w:rFonts w:cs="Arial"/>
                <w:b/>
                <w:sz w:val="24"/>
              </w:rPr>
              <w:t xml:space="preserve">Frampton, Horsley, </w:t>
            </w:r>
            <w:r w:rsidR="00C902C1" w:rsidRPr="00331C1B">
              <w:rPr>
                <w:rFonts w:cs="Arial"/>
                <w:b/>
                <w:sz w:val="24"/>
              </w:rPr>
              <w:t>Hunts Grove,</w:t>
            </w:r>
            <w:r w:rsidR="00A1113D" w:rsidRPr="00331C1B">
              <w:rPr>
                <w:rFonts w:cs="Arial"/>
                <w:b/>
                <w:sz w:val="24"/>
              </w:rPr>
              <w:t xml:space="preserve"> Minchinhampton, Nailsworth, Standish,</w:t>
            </w:r>
            <w:r w:rsidR="00C902C1" w:rsidRPr="00331C1B">
              <w:rPr>
                <w:rFonts w:cs="Arial"/>
                <w:b/>
                <w:sz w:val="24"/>
              </w:rPr>
              <w:t xml:space="preserve"> Stonehouse and </w:t>
            </w:r>
            <w:r w:rsidR="00A1113D" w:rsidRPr="00331C1B">
              <w:rPr>
                <w:rFonts w:cs="Arial"/>
                <w:b/>
                <w:sz w:val="24"/>
              </w:rPr>
              <w:t>Woodchester</w:t>
            </w:r>
            <w:r w:rsidR="002B1BAD" w:rsidRPr="00331C1B">
              <w:rPr>
                <w:rFonts w:cs="Arial"/>
                <w:b/>
                <w:sz w:val="24"/>
              </w:rPr>
              <w:t>.</w:t>
            </w:r>
          </w:p>
          <w:p w14:paraId="6142965C" w14:textId="26C0F48D" w:rsidR="00941D84" w:rsidRPr="00305DCB" w:rsidRDefault="00360DCD" w:rsidP="00305DCB">
            <w:pPr>
              <w:pStyle w:val="ListParagraph"/>
              <w:numPr>
                <w:ilvl w:val="0"/>
                <w:numId w:val="12"/>
              </w:numPr>
              <w:ind w:left="598"/>
              <w:jc w:val="both"/>
              <w:rPr>
                <w:rFonts w:cs="Arial"/>
                <w:b/>
                <w:sz w:val="24"/>
              </w:rPr>
            </w:pPr>
            <w:r w:rsidRPr="00A1113D">
              <w:rPr>
                <w:rFonts w:cs="Arial"/>
                <w:b/>
                <w:sz w:val="24"/>
              </w:rPr>
              <w:t>To conduct the Community Governance</w:t>
            </w:r>
            <w:r w:rsidRPr="00305DCB">
              <w:rPr>
                <w:rFonts w:cs="Arial"/>
                <w:b/>
                <w:sz w:val="24"/>
              </w:rPr>
              <w:t xml:space="preserve"> Review in accordance with the Terms of Reference contained in Appendix </w:t>
            </w:r>
            <w:r w:rsidR="00305DCB">
              <w:rPr>
                <w:rFonts w:cs="Arial"/>
                <w:b/>
                <w:sz w:val="24"/>
              </w:rPr>
              <w:t>A</w:t>
            </w:r>
            <w:r w:rsidRPr="00305DCB">
              <w:rPr>
                <w:rFonts w:cs="Arial"/>
                <w:b/>
                <w:sz w:val="24"/>
              </w:rPr>
              <w:t xml:space="preserve"> of this report.</w:t>
            </w:r>
          </w:p>
          <w:p w14:paraId="528F3BEF" w14:textId="44234E9B" w:rsidR="007B62D5" w:rsidRPr="00305DCB" w:rsidRDefault="007B62D5" w:rsidP="00305DCB">
            <w:pPr>
              <w:pStyle w:val="ListParagraph"/>
              <w:numPr>
                <w:ilvl w:val="0"/>
                <w:numId w:val="12"/>
              </w:numPr>
              <w:ind w:left="598"/>
              <w:jc w:val="both"/>
              <w:rPr>
                <w:rFonts w:cs="Arial"/>
                <w:b/>
                <w:sz w:val="24"/>
              </w:rPr>
            </w:pPr>
            <w:r w:rsidRPr="00305DCB">
              <w:rPr>
                <w:rFonts w:cs="Arial"/>
                <w:b/>
                <w:sz w:val="24"/>
              </w:rPr>
              <w:t xml:space="preserve">To </w:t>
            </w:r>
            <w:r w:rsidR="00227EB6" w:rsidRPr="00305DCB">
              <w:rPr>
                <w:rFonts w:cs="Arial"/>
                <w:b/>
                <w:sz w:val="24"/>
              </w:rPr>
              <w:t xml:space="preserve">establish a </w:t>
            </w:r>
            <w:bookmarkStart w:id="0" w:name="_Hlk115334468"/>
            <w:r w:rsidR="00774351" w:rsidRPr="00305DCB">
              <w:rPr>
                <w:rFonts w:cs="Arial"/>
                <w:b/>
                <w:sz w:val="24"/>
              </w:rPr>
              <w:t>working group</w:t>
            </w:r>
            <w:r w:rsidR="00227EB6" w:rsidRPr="00305DCB">
              <w:rPr>
                <w:rFonts w:cs="Arial"/>
                <w:b/>
                <w:sz w:val="24"/>
              </w:rPr>
              <w:t xml:space="preserve"> </w:t>
            </w:r>
            <w:bookmarkEnd w:id="0"/>
            <w:r w:rsidR="00227EB6" w:rsidRPr="00305DCB">
              <w:rPr>
                <w:rFonts w:cs="Arial"/>
                <w:b/>
                <w:sz w:val="24"/>
              </w:rPr>
              <w:t xml:space="preserve">to oversee the process of the </w:t>
            </w:r>
            <w:r w:rsidR="00D756E4" w:rsidRPr="00305DCB">
              <w:rPr>
                <w:rFonts w:cs="Arial"/>
                <w:b/>
                <w:sz w:val="24"/>
              </w:rPr>
              <w:t>C</w:t>
            </w:r>
            <w:r w:rsidR="002B1BAD" w:rsidRPr="00305DCB">
              <w:rPr>
                <w:rFonts w:cs="Arial"/>
                <w:b/>
                <w:sz w:val="24"/>
              </w:rPr>
              <w:t>ommunity Governance Review</w:t>
            </w:r>
            <w:r w:rsidR="00D756E4" w:rsidRPr="00305DCB">
              <w:rPr>
                <w:rFonts w:cs="Arial"/>
                <w:b/>
                <w:sz w:val="24"/>
              </w:rPr>
              <w:t xml:space="preserve"> </w:t>
            </w:r>
            <w:r w:rsidR="00774351" w:rsidRPr="00305DCB">
              <w:rPr>
                <w:rFonts w:cs="Arial"/>
                <w:b/>
                <w:sz w:val="24"/>
              </w:rPr>
              <w:t>and propose r</w:t>
            </w:r>
            <w:r w:rsidR="00227EB6" w:rsidRPr="00305DCB">
              <w:rPr>
                <w:rFonts w:cs="Arial"/>
                <w:b/>
                <w:sz w:val="24"/>
              </w:rPr>
              <w:t xml:space="preserve">ecommendations in </w:t>
            </w:r>
            <w:r w:rsidR="00D756E4" w:rsidRPr="00305DCB">
              <w:rPr>
                <w:rFonts w:cs="Arial"/>
                <w:b/>
                <w:sz w:val="24"/>
              </w:rPr>
              <w:t>view</w:t>
            </w:r>
            <w:r w:rsidR="00227EB6" w:rsidRPr="00305DCB">
              <w:rPr>
                <w:rFonts w:cs="Arial"/>
                <w:b/>
                <w:sz w:val="24"/>
              </w:rPr>
              <w:t xml:space="preserve"> </w:t>
            </w:r>
            <w:r w:rsidR="00D756E4" w:rsidRPr="00305DCB">
              <w:rPr>
                <w:rFonts w:cs="Arial"/>
                <w:b/>
                <w:sz w:val="24"/>
              </w:rPr>
              <w:t>of</w:t>
            </w:r>
            <w:r w:rsidR="00227EB6" w:rsidRPr="00305DCB">
              <w:rPr>
                <w:rFonts w:cs="Arial"/>
                <w:b/>
                <w:sz w:val="24"/>
              </w:rPr>
              <w:t xml:space="preserve"> the consultation responses.</w:t>
            </w:r>
          </w:p>
        </w:tc>
      </w:tr>
      <w:tr w:rsidR="00794C54" w:rsidRPr="00954EE2" w14:paraId="3509FEBA" w14:textId="77777777" w:rsidTr="00FB6756">
        <w:trPr>
          <w:trHeight w:val="90"/>
        </w:trPr>
        <w:tc>
          <w:tcPr>
            <w:tcW w:w="2802" w:type="dxa"/>
          </w:tcPr>
          <w:p w14:paraId="4DAC628E" w14:textId="77777777" w:rsidR="00794C54" w:rsidRPr="005130FB" w:rsidRDefault="00794C54" w:rsidP="005E552F">
            <w:pPr>
              <w:pStyle w:val="Heading4"/>
              <w:rPr>
                <w:rFonts w:cs="Arial"/>
                <w:sz w:val="24"/>
                <w:szCs w:val="24"/>
              </w:rPr>
            </w:pPr>
            <w:r w:rsidRPr="005130FB">
              <w:rPr>
                <w:rFonts w:cs="Arial"/>
                <w:sz w:val="24"/>
                <w:szCs w:val="24"/>
              </w:rPr>
              <w:t>Consultation and</w:t>
            </w:r>
          </w:p>
          <w:p w14:paraId="694DC217" w14:textId="77777777" w:rsidR="00794C54" w:rsidRPr="00954EE2" w:rsidRDefault="00794C54" w:rsidP="005E552F">
            <w:pPr>
              <w:rPr>
                <w:rFonts w:cs="Arial"/>
                <w:sz w:val="24"/>
              </w:rPr>
            </w:pPr>
            <w:r w:rsidRPr="005130FB">
              <w:rPr>
                <w:rFonts w:cs="Arial"/>
                <w:b/>
                <w:bCs/>
                <w:sz w:val="24"/>
              </w:rPr>
              <w:t>Feedback</w:t>
            </w:r>
          </w:p>
        </w:tc>
        <w:tc>
          <w:tcPr>
            <w:tcW w:w="7116" w:type="dxa"/>
            <w:gridSpan w:val="5"/>
          </w:tcPr>
          <w:p w14:paraId="671BEAC2" w14:textId="77777777" w:rsidR="00794C54" w:rsidRPr="00954EE2" w:rsidRDefault="00360DCD" w:rsidP="00A26D2C">
            <w:pPr>
              <w:jc w:val="both"/>
              <w:rPr>
                <w:rFonts w:cs="Arial"/>
                <w:sz w:val="24"/>
              </w:rPr>
            </w:pPr>
            <w:r>
              <w:rPr>
                <w:rFonts w:cs="Arial"/>
                <w:sz w:val="24"/>
              </w:rPr>
              <w:t>If a Community Governance Review is conducted, two full consultation exercises will be undertaken during the process.</w:t>
            </w:r>
          </w:p>
        </w:tc>
      </w:tr>
      <w:tr w:rsidR="00794C54" w:rsidRPr="00954EE2" w14:paraId="55C084A5" w14:textId="77777777" w:rsidTr="00FB6756">
        <w:tc>
          <w:tcPr>
            <w:tcW w:w="2802" w:type="dxa"/>
          </w:tcPr>
          <w:p w14:paraId="178CF42C" w14:textId="77777777" w:rsidR="00794C54" w:rsidRPr="00954EE2" w:rsidRDefault="00794C54" w:rsidP="005E552F">
            <w:pPr>
              <w:pStyle w:val="Heading4"/>
              <w:rPr>
                <w:rFonts w:cs="Arial"/>
                <w:sz w:val="24"/>
                <w:szCs w:val="24"/>
              </w:rPr>
            </w:pPr>
            <w:r w:rsidRPr="005130FB">
              <w:rPr>
                <w:rFonts w:cs="Arial"/>
                <w:sz w:val="24"/>
                <w:szCs w:val="24"/>
              </w:rPr>
              <w:t>Report Author</w:t>
            </w:r>
          </w:p>
          <w:p w14:paraId="157FEDE4" w14:textId="77777777" w:rsidR="00794C54" w:rsidRPr="00954EE2" w:rsidRDefault="00794C54" w:rsidP="005E552F">
            <w:pPr>
              <w:pStyle w:val="Heading4"/>
              <w:rPr>
                <w:rFonts w:cs="Arial"/>
                <w:sz w:val="24"/>
                <w:szCs w:val="24"/>
              </w:rPr>
            </w:pPr>
          </w:p>
        </w:tc>
        <w:tc>
          <w:tcPr>
            <w:tcW w:w="7116" w:type="dxa"/>
            <w:gridSpan w:val="5"/>
          </w:tcPr>
          <w:p w14:paraId="232F0E2B" w14:textId="6A2A658D" w:rsidR="00484DDB" w:rsidRDefault="00484DDB" w:rsidP="00A26D2C">
            <w:pPr>
              <w:jc w:val="both"/>
              <w:rPr>
                <w:rFonts w:cs="Arial"/>
                <w:sz w:val="24"/>
              </w:rPr>
            </w:pPr>
            <w:r>
              <w:rPr>
                <w:rFonts w:cs="Arial"/>
                <w:sz w:val="24"/>
              </w:rPr>
              <w:t>Jenna Day, Senior Democratic Services and Elections Officer</w:t>
            </w:r>
          </w:p>
          <w:p w14:paraId="7786D1D3" w14:textId="787A891A" w:rsidR="00484DDB" w:rsidRDefault="00484DDB" w:rsidP="00A26D2C">
            <w:pPr>
              <w:jc w:val="both"/>
              <w:rPr>
                <w:rFonts w:cs="Arial"/>
                <w:sz w:val="24"/>
              </w:rPr>
            </w:pPr>
            <w:r>
              <w:rPr>
                <w:rFonts w:cs="Arial"/>
                <w:sz w:val="24"/>
              </w:rPr>
              <w:t xml:space="preserve">Email: </w:t>
            </w:r>
            <w:hyperlink r:id="rId7" w:history="1">
              <w:r w:rsidR="00C300F0" w:rsidRPr="00CE73A7">
                <w:rPr>
                  <w:rStyle w:val="Hyperlink"/>
                  <w:rFonts w:cs="Arial"/>
                  <w:sz w:val="24"/>
                </w:rPr>
                <w:t>jenna.day@stroud.gov.uk</w:t>
              </w:r>
            </w:hyperlink>
          </w:p>
          <w:p w14:paraId="639D2E7B" w14:textId="77777777" w:rsidR="00484DDB" w:rsidRDefault="00484DDB" w:rsidP="00A26D2C">
            <w:pPr>
              <w:jc w:val="both"/>
              <w:rPr>
                <w:rFonts w:cs="Arial"/>
                <w:sz w:val="24"/>
              </w:rPr>
            </w:pPr>
          </w:p>
          <w:p w14:paraId="67D5F641" w14:textId="5BE10C2E" w:rsidR="00F56E12" w:rsidRDefault="00F56E12" w:rsidP="00A26D2C">
            <w:pPr>
              <w:jc w:val="both"/>
              <w:rPr>
                <w:rFonts w:cs="Arial"/>
                <w:sz w:val="24"/>
              </w:rPr>
            </w:pPr>
            <w:r>
              <w:rPr>
                <w:rFonts w:cs="Arial"/>
                <w:sz w:val="24"/>
              </w:rPr>
              <w:t xml:space="preserve">Hannah Emery, </w:t>
            </w:r>
            <w:r w:rsidR="00305DCB">
              <w:rPr>
                <w:rFonts w:cs="Arial"/>
                <w:sz w:val="24"/>
              </w:rPr>
              <w:t>Corporate Policy and Governance Manager</w:t>
            </w:r>
          </w:p>
          <w:p w14:paraId="1654FED2" w14:textId="7D630719" w:rsidR="00484DDB" w:rsidRPr="00C300F0" w:rsidRDefault="00794C54" w:rsidP="00305DCB">
            <w:pPr>
              <w:jc w:val="both"/>
              <w:rPr>
                <w:rFonts w:cs="Arial"/>
                <w:color w:val="0000FF" w:themeColor="hyperlink"/>
                <w:sz w:val="24"/>
                <w:u w:val="single"/>
              </w:rPr>
            </w:pPr>
            <w:r w:rsidRPr="00954EE2">
              <w:rPr>
                <w:rFonts w:cs="Arial"/>
                <w:sz w:val="24"/>
              </w:rPr>
              <w:t xml:space="preserve">Email: </w:t>
            </w:r>
            <w:hyperlink r:id="rId8" w:history="1">
              <w:r w:rsidR="00305DCB" w:rsidRPr="00CD384B">
                <w:rPr>
                  <w:rStyle w:val="Hyperlink"/>
                  <w:rFonts w:cs="Arial"/>
                  <w:sz w:val="24"/>
                </w:rPr>
                <w:t>hannah.emery@stroud.gov.uk</w:t>
              </w:r>
            </w:hyperlink>
          </w:p>
        </w:tc>
      </w:tr>
      <w:tr w:rsidR="00794C54" w:rsidRPr="00954EE2" w14:paraId="110B0CB4" w14:textId="77777777" w:rsidTr="00FB6756">
        <w:tc>
          <w:tcPr>
            <w:tcW w:w="2802" w:type="dxa"/>
          </w:tcPr>
          <w:p w14:paraId="55AD9D49" w14:textId="2D9F999E" w:rsidR="00794C54" w:rsidRPr="00A1113D" w:rsidRDefault="005B5972" w:rsidP="005E552F">
            <w:pPr>
              <w:pStyle w:val="Heading4"/>
              <w:rPr>
                <w:rFonts w:cs="Arial"/>
                <w:sz w:val="24"/>
              </w:rPr>
            </w:pPr>
            <w:r>
              <w:rPr>
                <w:b w:val="0"/>
                <w:bCs w:val="0"/>
                <w:szCs w:val="24"/>
              </w:rPr>
              <w:br w:type="page"/>
            </w:r>
            <w:r w:rsidR="00794C54" w:rsidRPr="00A1113D">
              <w:rPr>
                <w:rFonts w:cs="Arial"/>
                <w:sz w:val="24"/>
                <w:szCs w:val="24"/>
              </w:rPr>
              <w:t>Options</w:t>
            </w:r>
          </w:p>
        </w:tc>
        <w:tc>
          <w:tcPr>
            <w:tcW w:w="7116" w:type="dxa"/>
            <w:gridSpan w:val="5"/>
          </w:tcPr>
          <w:p w14:paraId="0077D037" w14:textId="119BDF10" w:rsidR="00805572" w:rsidRPr="00A1113D" w:rsidRDefault="00BD32FA" w:rsidP="00805572">
            <w:pPr>
              <w:ind w:left="33" w:hanging="33"/>
              <w:jc w:val="both"/>
              <w:rPr>
                <w:rFonts w:cs="Arial"/>
                <w:sz w:val="24"/>
              </w:rPr>
            </w:pPr>
            <w:r>
              <w:rPr>
                <w:rFonts w:cs="Arial"/>
                <w:sz w:val="24"/>
              </w:rPr>
              <w:t>The approved recommendations of the previous Community Governance Review held in 2019 commit t</w:t>
            </w:r>
            <w:r w:rsidR="00484DDB">
              <w:rPr>
                <w:rFonts w:cs="Arial"/>
                <w:sz w:val="24"/>
              </w:rPr>
              <w:t>he Council to undertak</w:t>
            </w:r>
            <w:r w:rsidR="00B933CD">
              <w:rPr>
                <w:rFonts w:cs="Arial"/>
                <w:sz w:val="24"/>
              </w:rPr>
              <w:t>e</w:t>
            </w:r>
            <w:r w:rsidR="00484DDB">
              <w:rPr>
                <w:rFonts w:cs="Arial"/>
                <w:sz w:val="24"/>
              </w:rPr>
              <w:t xml:space="preserve"> a </w:t>
            </w:r>
            <w:r>
              <w:rPr>
                <w:rFonts w:cs="Arial"/>
                <w:sz w:val="24"/>
              </w:rPr>
              <w:t>Review</w:t>
            </w:r>
            <w:r w:rsidR="00484DDB">
              <w:rPr>
                <w:rFonts w:cs="Arial"/>
                <w:sz w:val="24"/>
              </w:rPr>
              <w:t xml:space="preserve"> for the </w:t>
            </w:r>
            <w:r>
              <w:rPr>
                <w:rFonts w:cs="Arial"/>
                <w:sz w:val="24"/>
              </w:rPr>
              <w:t xml:space="preserve">parish/town council </w:t>
            </w:r>
            <w:r w:rsidR="00484DDB">
              <w:rPr>
                <w:rFonts w:cs="Arial"/>
                <w:sz w:val="24"/>
              </w:rPr>
              <w:t xml:space="preserve">areas of </w:t>
            </w:r>
            <w:r>
              <w:rPr>
                <w:rFonts w:cs="Arial"/>
                <w:sz w:val="24"/>
              </w:rPr>
              <w:t>Eastington, Standish and Stonehouse, but i</w:t>
            </w:r>
            <w:r w:rsidR="00732105" w:rsidRPr="00A1113D">
              <w:rPr>
                <w:rFonts w:cs="Arial"/>
                <w:sz w:val="24"/>
              </w:rPr>
              <w:t>t is open to the Council not to carry out a Community Governance Review</w:t>
            </w:r>
            <w:r w:rsidR="00A1113D" w:rsidRPr="00A1113D">
              <w:rPr>
                <w:rFonts w:cs="Arial"/>
                <w:sz w:val="24"/>
              </w:rPr>
              <w:t xml:space="preserve"> </w:t>
            </w:r>
            <w:r w:rsidR="00484DDB">
              <w:rPr>
                <w:rFonts w:cs="Arial"/>
                <w:sz w:val="24"/>
              </w:rPr>
              <w:t xml:space="preserve">for the </w:t>
            </w:r>
            <w:r>
              <w:rPr>
                <w:rFonts w:cs="Arial"/>
                <w:sz w:val="24"/>
              </w:rPr>
              <w:t xml:space="preserve">other </w:t>
            </w:r>
            <w:r w:rsidR="00484DDB">
              <w:rPr>
                <w:rFonts w:cs="Arial"/>
                <w:sz w:val="24"/>
              </w:rPr>
              <w:t>parish areas that have requested a Review take place</w:t>
            </w:r>
            <w:r w:rsidR="00CB5FA9">
              <w:rPr>
                <w:rFonts w:cs="Arial"/>
                <w:sz w:val="24"/>
              </w:rPr>
              <w:t>.</w:t>
            </w:r>
            <w:r w:rsidR="00484DDB">
              <w:rPr>
                <w:rFonts w:cs="Arial"/>
                <w:sz w:val="24"/>
              </w:rPr>
              <w:t xml:space="preserve"> </w:t>
            </w:r>
          </w:p>
          <w:p w14:paraId="0F7B8787" w14:textId="3B5D7C70" w:rsidR="00F5773C" w:rsidRPr="00A1113D" w:rsidRDefault="00F5773C" w:rsidP="00805572">
            <w:pPr>
              <w:ind w:left="33" w:hanging="33"/>
              <w:jc w:val="both"/>
              <w:rPr>
                <w:rFonts w:cs="Arial"/>
                <w:sz w:val="24"/>
              </w:rPr>
            </w:pPr>
          </w:p>
        </w:tc>
      </w:tr>
      <w:tr w:rsidR="00794C54" w:rsidRPr="00954EE2" w14:paraId="3AEC4CAD" w14:textId="77777777" w:rsidTr="00FB6756">
        <w:tc>
          <w:tcPr>
            <w:tcW w:w="2802" w:type="dxa"/>
          </w:tcPr>
          <w:p w14:paraId="6FF31F61" w14:textId="65A6124D" w:rsidR="00794C54" w:rsidRPr="005130FB" w:rsidRDefault="005B5972" w:rsidP="005E552F">
            <w:pPr>
              <w:pStyle w:val="Heading4"/>
              <w:rPr>
                <w:rFonts w:cs="Arial"/>
                <w:sz w:val="24"/>
                <w:szCs w:val="24"/>
              </w:rPr>
            </w:pPr>
            <w:r>
              <w:rPr>
                <w:b w:val="0"/>
                <w:bCs w:val="0"/>
                <w:szCs w:val="24"/>
              </w:rPr>
              <w:br w:type="page"/>
            </w:r>
            <w:r w:rsidR="00794C54" w:rsidRPr="005130FB">
              <w:rPr>
                <w:rFonts w:cs="Arial"/>
                <w:sz w:val="24"/>
                <w:szCs w:val="24"/>
              </w:rPr>
              <w:t>Background Papers/</w:t>
            </w:r>
          </w:p>
          <w:p w14:paraId="5D07C775" w14:textId="77777777" w:rsidR="00794C54" w:rsidRPr="00954EE2" w:rsidRDefault="00794C54" w:rsidP="005E552F">
            <w:pPr>
              <w:pStyle w:val="Heading4"/>
              <w:rPr>
                <w:rFonts w:cs="Arial"/>
                <w:sz w:val="24"/>
                <w:szCs w:val="24"/>
              </w:rPr>
            </w:pPr>
            <w:r w:rsidRPr="005130FB">
              <w:rPr>
                <w:rFonts w:cs="Arial"/>
                <w:sz w:val="24"/>
                <w:szCs w:val="24"/>
              </w:rPr>
              <w:t>Appendices</w:t>
            </w:r>
          </w:p>
        </w:tc>
        <w:tc>
          <w:tcPr>
            <w:tcW w:w="7116" w:type="dxa"/>
            <w:gridSpan w:val="5"/>
          </w:tcPr>
          <w:p w14:paraId="3AA40C6D" w14:textId="77777777" w:rsidR="00A1113D" w:rsidRDefault="00305DCB" w:rsidP="00A26D2C">
            <w:pPr>
              <w:jc w:val="both"/>
              <w:rPr>
                <w:rFonts w:cs="Arial"/>
                <w:sz w:val="24"/>
              </w:rPr>
            </w:pPr>
            <w:r>
              <w:rPr>
                <w:rFonts w:cs="Arial"/>
                <w:sz w:val="24"/>
              </w:rPr>
              <w:t xml:space="preserve">Appendix A - </w:t>
            </w:r>
            <w:r w:rsidR="002E5ABE">
              <w:rPr>
                <w:rFonts w:cs="Arial"/>
                <w:sz w:val="24"/>
              </w:rPr>
              <w:t xml:space="preserve">Terms of Reference </w:t>
            </w:r>
          </w:p>
          <w:p w14:paraId="0E7BB570" w14:textId="39F55A88" w:rsidR="00D503A6" w:rsidRPr="00954EE2" w:rsidRDefault="00C300F0" w:rsidP="00A26D2C">
            <w:pPr>
              <w:jc w:val="both"/>
              <w:rPr>
                <w:rFonts w:cs="Arial"/>
                <w:sz w:val="24"/>
              </w:rPr>
            </w:pPr>
            <w:r>
              <w:rPr>
                <w:rFonts w:cs="Arial"/>
                <w:sz w:val="24"/>
              </w:rPr>
              <w:t xml:space="preserve">Appendix A - </w:t>
            </w:r>
            <w:r w:rsidR="00C85BF1">
              <w:rPr>
                <w:rFonts w:cs="Arial"/>
                <w:sz w:val="24"/>
              </w:rPr>
              <w:t>Annex</w:t>
            </w:r>
            <w:r>
              <w:rPr>
                <w:rFonts w:cs="Arial"/>
                <w:sz w:val="24"/>
              </w:rPr>
              <w:t>e</w:t>
            </w:r>
            <w:r w:rsidR="00C85BF1">
              <w:rPr>
                <w:rFonts w:cs="Arial"/>
                <w:sz w:val="24"/>
              </w:rPr>
              <w:t xml:space="preserve"> A</w:t>
            </w:r>
            <w:r>
              <w:rPr>
                <w:rFonts w:cs="Arial"/>
                <w:sz w:val="24"/>
              </w:rPr>
              <w:t xml:space="preserve"> </w:t>
            </w:r>
            <w:r w:rsidR="00CB5FA9">
              <w:rPr>
                <w:rFonts w:cs="Arial"/>
                <w:sz w:val="24"/>
              </w:rPr>
              <w:t>–</w:t>
            </w:r>
            <w:r w:rsidR="00D503A6">
              <w:rPr>
                <w:rFonts w:cs="Arial"/>
                <w:sz w:val="24"/>
              </w:rPr>
              <w:t xml:space="preserve"> </w:t>
            </w:r>
            <w:r w:rsidR="00CB5FA9">
              <w:rPr>
                <w:rFonts w:cs="Arial"/>
                <w:sz w:val="24"/>
              </w:rPr>
              <w:t>Parish governance arrangements and electorate</w:t>
            </w:r>
          </w:p>
        </w:tc>
      </w:tr>
      <w:tr w:rsidR="00FB6756" w:rsidRPr="002B6006" w14:paraId="04D08283" w14:textId="77777777" w:rsidTr="00FB6756">
        <w:trPr>
          <w:trHeight w:val="413"/>
        </w:trPr>
        <w:tc>
          <w:tcPr>
            <w:tcW w:w="2835" w:type="dxa"/>
            <w:gridSpan w:val="2"/>
            <w:vMerge w:val="restart"/>
            <w:tcBorders>
              <w:top w:val="single" w:sz="4" w:space="0" w:color="auto"/>
              <w:left w:val="single" w:sz="4" w:space="0" w:color="auto"/>
              <w:bottom w:val="single" w:sz="4" w:space="0" w:color="auto"/>
              <w:right w:val="single" w:sz="4" w:space="0" w:color="auto"/>
            </w:tcBorders>
          </w:tcPr>
          <w:p w14:paraId="74A11EA5" w14:textId="77777777" w:rsidR="00FB6756" w:rsidRPr="002B6006" w:rsidRDefault="00FB6756" w:rsidP="00505AC1">
            <w:pPr>
              <w:pStyle w:val="Heading4"/>
              <w:rPr>
                <w:rFonts w:cs="Arial"/>
                <w:sz w:val="24"/>
                <w:szCs w:val="24"/>
              </w:rPr>
            </w:pPr>
            <w:r w:rsidRPr="002B6006">
              <w:rPr>
                <w:rFonts w:cs="Arial"/>
                <w:sz w:val="24"/>
                <w:szCs w:val="24"/>
              </w:rPr>
              <w:t xml:space="preserve">Implications </w:t>
            </w:r>
          </w:p>
          <w:p w14:paraId="6421A6A9" w14:textId="77777777" w:rsidR="00FB6756" w:rsidRPr="00EC5FFA" w:rsidRDefault="00FB6756" w:rsidP="00505AC1">
            <w:pPr>
              <w:pStyle w:val="Heading4"/>
              <w:rPr>
                <w:rFonts w:cs="Arial"/>
                <w:sz w:val="24"/>
                <w:szCs w:val="24"/>
              </w:rPr>
            </w:pPr>
            <w:r w:rsidRPr="002B6006">
              <w:rPr>
                <w:rFonts w:cs="Arial"/>
                <w:sz w:val="24"/>
                <w:szCs w:val="24"/>
              </w:rPr>
              <w:t>(</w:t>
            </w:r>
            <w:proofErr w:type="gramStart"/>
            <w:r w:rsidRPr="002B6006">
              <w:rPr>
                <w:rFonts w:cs="Arial"/>
                <w:sz w:val="24"/>
                <w:szCs w:val="24"/>
              </w:rPr>
              <w:t>further</w:t>
            </w:r>
            <w:proofErr w:type="gramEnd"/>
            <w:r w:rsidRPr="002B6006">
              <w:rPr>
                <w:rFonts w:cs="Arial"/>
                <w:sz w:val="24"/>
                <w:szCs w:val="24"/>
              </w:rPr>
              <w:t xml:space="preserve"> details at the end of the report)</w:t>
            </w:r>
          </w:p>
        </w:tc>
        <w:tc>
          <w:tcPr>
            <w:tcW w:w="1843" w:type="dxa"/>
            <w:tcBorders>
              <w:left w:val="single" w:sz="4" w:space="0" w:color="auto"/>
            </w:tcBorders>
          </w:tcPr>
          <w:p w14:paraId="7A039202" w14:textId="77777777" w:rsidR="00FB6756" w:rsidRPr="002B6006" w:rsidRDefault="00FB6756" w:rsidP="00505AC1">
            <w:pPr>
              <w:jc w:val="both"/>
              <w:rPr>
                <w:rFonts w:cs="Arial"/>
                <w:sz w:val="24"/>
              </w:rPr>
            </w:pPr>
            <w:r w:rsidRPr="002B6006">
              <w:rPr>
                <w:rFonts w:cs="Arial"/>
                <w:sz w:val="24"/>
              </w:rPr>
              <w:t>Financial</w:t>
            </w:r>
          </w:p>
        </w:tc>
        <w:tc>
          <w:tcPr>
            <w:tcW w:w="1701" w:type="dxa"/>
          </w:tcPr>
          <w:p w14:paraId="76055727" w14:textId="77777777" w:rsidR="00FB6756" w:rsidRPr="002B6006" w:rsidRDefault="00FB6756" w:rsidP="00505AC1">
            <w:pPr>
              <w:jc w:val="both"/>
              <w:rPr>
                <w:rFonts w:cs="Arial"/>
                <w:sz w:val="24"/>
              </w:rPr>
            </w:pPr>
            <w:r w:rsidRPr="002B6006">
              <w:rPr>
                <w:rFonts w:cs="Arial"/>
                <w:sz w:val="24"/>
              </w:rPr>
              <w:t>Legal</w:t>
            </w:r>
          </w:p>
        </w:tc>
        <w:tc>
          <w:tcPr>
            <w:tcW w:w="1843" w:type="dxa"/>
          </w:tcPr>
          <w:p w14:paraId="45ED59E5" w14:textId="77777777" w:rsidR="00FB6756" w:rsidRPr="002B6006" w:rsidRDefault="00FB6756" w:rsidP="00505AC1">
            <w:pPr>
              <w:jc w:val="both"/>
              <w:rPr>
                <w:rFonts w:cs="Arial"/>
                <w:sz w:val="24"/>
              </w:rPr>
            </w:pPr>
            <w:r w:rsidRPr="002B6006">
              <w:rPr>
                <w:rFonts w:cs="Arial"/>
                <w:sz w:val="24"/>
              </w:rPr>
              <w:t>Equality</w:t>
            </w:r>
          </w:p>
        </w:tc>
        <w:tc>
          <w:tcPr>
            <w:tcW w:w="1701" w:type="dxa"/>
          </w:tcPr>
          <w:p w14:paraId="3D9E813B" w14:textId="77777777" w:rsidR="00FB6756" w:rsidRPr="002B6006" w:rsidRDefault="00FB6756" w:rsidP="00505AC1">
            <w:pPr>
              <w:jc w:val="both"/>
              <w:rPr>
                <w:rFonts w:cs="Arial"/>
                <w:sz w:val="24"/>
              </w:rPr>
            </w:pPr>
            <w:r w:rsidRPr="002B6006">
              <w:rPr>
                <w:rFonts w:cs="Arial"/>
                <w:sz w:val="24"/>
              </w:rPr>
              <w:t>Environmental</w:t>
            </w:r>
          </w:p>
        </w:tc>
      </w:tr>
      <w:tr w:rsidR="00FB6756" w:rsidRPr="002B6006" w14:paraId="3CB45EB9" w14:textId="77777777" w:rsidTr="00FB6756">
        <w:trPr>
          <w:trHeight w:val="577"/>
        </w:trPr>
        <w:tc>
          <w:tcPr>
            <w:tcW w:w="2835" w:type="dxa"/>
            <w:gridSpan w:val="2"/>
            <w:vMerge/>
            <w:tcBorders>
              <w:top w:val="single" w:sz="4" w:space="0" w:color="auto"/>
              <w:left w:val="single" w:sz="4" w:space="0" w:color="auto"/>
              <w:bottom w:val="single" w:sz="4" w:space="0" w:color="auto"/>
              <w:right w:val="single" w:sz="4" w:space="0" w:color="auto"/>
            </w:tcBorders>
          </w:tcPr>
          <w:p w14:paraId="4E2B9968" w14:textId="77777777" w:rsidR="00FB6756" w:rsidRPr="002B6006" w:rsidRDefault="00FB6756" w:rsidP="00505AC1">
            <w:pPr>
              <w:pStyle w:val="Heading4"/>
              <w:jc w:val="both"/>
              <w:rPr>
                <w:rFonts w:cs="Arial"/>
                <w:sz w:val="24"/>
                <w:szCs w:val="24"/>
              </w:rPr>
            </w:pPr>
          </w:p>
        </w:tc>
        <w:tc>
          <w:tcPr>
            <w:tcW w:w="1843" w:type="dxa"/>
            <w:tcBorders>
              <w:left w:val="single" w:sz="4" w:space="0" w:color="auto"/>
            </w:tcBorders>
          </w:tcPr>
          <w:p w14:paraId="79A8FEFF" w14:textId="77777777" w:rsidR="00FB6756" w:rsidRPr="002B6006" w:rsidRDefault="00FB6756" w:rsidP="00505AC1">
            <w:pPr>
              <w:jc w:val="both"/>
              <w:rPr>
                <w:rFonts w:cs="Arial"/>
                <w:sz w:val="24"/>
              </w:rPr>
            </w:pPr>
            <w:r w:rsidRPr="002B6006">
              <w:rPr>
                <w:rFonts w:cs="Arial"/>
                <w:sz w:val="24"/>
              </w:rPr>
              <w:t>No</w:t>
            </w:r>
          </w:p>
        </w:tc>
        <w:tc>
          <w:tcPr>
            <w:tcW w:w="1701" w:type="dxa"/>
          </w:tcPr>
          <w:p w14:paraId="634B8322" w14:textId="77777777" w:rsidR="00FB6756" w:rsidRPr="002B6006" w:rsidRDefault="00FB6756" w:rsidP="00505AC1">
            <w:pPr>
              <w:jc w:val="both"/>
              <w:rPr>
                <w:rFonts w:cs="Arial"/>
                <w:sz w:val="24"/>
              </w:rPr>
            </w:pPr>
            <w:r w:rsidRPr="002B6006">
              <w:rPr>
                <w:rFonts w:cs="Arial"/>
                <w:sz w:val="24"/>
              </w:rPr>
              <w:t>Yes</w:t>
            </w:r>
          </w:p>
        </w:tc>
        <w:tc>
          <w:tcPr>
            <w:tcW w:w="1843" w:type="dxa"/>
          </w:tcPr>
          <w:p w14:paraId="62F28AFD" w14:textId="77777777" w:rsidR="00FB6756" w:rsidRPr="002B6006" w:rsidRDefault="00FB6756" w:rsidP="00505AC1">
            <w:pPr>
              <w:jc w:val="both"/>
              <w:rPr>
                <w:rFonts w:cs="Arial"/>
                <w:sz w:val="24"/>
              </w:rPr>
            </w:pPr>
            <w:r w:rsidRPr="002B6006">
              <w:rPr>
                <w:rFonts w:cs="Arial"/>
                <w:sz w:val="24"/>
              </w:rPr>
              <w:t>No</w:t>
            </w:r>
          </w:p>
        </w:tc>
        <w:tc>
          <w:tcPr>
            <w:tcW w:w="1701" w:type="dxa"/>
          </w:tcPr>
          <w:p w14:paraId="0DCAEB5F" w14:textId="77777777" w:rsidR="00FB6756" w:rsidRPr="002B6006" w:rsidRDefault="00FB6756" w:rsidP="00505AC1">
            <w:pPr>
              <w:jc w:val="both"/>
              <w:rPr>
                <w:rFonts w:cs="Arial"/>
                <w:sz w:val="24"/>
              </w:rPr>
            </w:pPr>
            <w:r w:rsidRPr="002B6006">
              <w:rPr>
                <w:rFonts w:cs="Arial"/>
                <w:sz w:val="24"/>
              </w:rPr>
              <w:t>No</w:t>
            </w:r>
          </w:p>
        </w:tc>
      </w:tr>
    </w:tbl>
    <w:p w14:paraId="16464B29" w14:textId="44B65486" w:rsidR="00794C54" w:rsidRDefault="00794C54" w:rsidP="00794C54">
      <w:pPr>
        <w:jc w:val="both"/>
        <w:rPr>
          <w:sz w:val="24"/>
        </w:rPr>
      </w:pPr>
    </w:p>
    <w:p w14:paraId="18E61765" w14:textId="77777777" w:rsidR="00794C54" w:rsidRDefault="00794C54" w:rsidP="00E91D3B">
      <w:pPr>
        <w:pStyle w:val="ListParagraph"/>
        <w:numPr>
          <w:ilvl w:val="0"/>
          <w:numId w:val="1"/>
        </w:numPr>
        <w:spacing w:line="360" w:lineRule="auto"/>
        <w:ind w:left="567" w:hanging="567"/>
        <w:rPr>
          <w:b/>
          <w:sz w:val="24"/>
        </w:rPr>
      </w:pPr>
      <w:r w:rsidRPr="00794C54">
        <w:rPr>
          <w:b/>
          <w:sz w:val="24"/>
        </w:rPr>
        <w:lastRenderedPageBreak/>
        <w:t>BACKGROUND</w:t>
      </w:r>
    </w:p>
    <w:p w14:paraId="4E1C495E" w14:textId="77777777" w:rsidR="002C7913" w:rsidRPr="002C7913" w:rsidRDefault="002C7913" w:rsidP="0075060E">
      <w:pPr>
        <w:pStyle w:val="ListParagraph"/>
        <w:spacing w:line="276" w:lineRule="auto"/>
        <w:ind w:left="567"/>
        <w:rPr>
          <w:b/>
          <w:sz w:val="16"/>
          <w:szCs w:val="16"/>
        </w:rPr>
      </w:pPr>
    </w:p>
    <w:p w14:paraId="2E378686" w14:textId="7E0B4142" w:rsidR="002B1BAD" w:rsidRDefault="000D2C9C" w:rsidP="0075060E">
      <w:pPr>
        <w:pStyle w:val="ListParagraph"/>
        <w:numPr>
          <w:ilvl w:val="1"/>
          <w:numId w:val="1"/>
        </w:numPr>
        <w:spacing w:line="276" w:lineRule="auto"/>
        <w:ind w:left="567" w:hanging="567"/>
        <w:jc w:val="both"/>
        <w:rPr>
          <w:sz w:val="24"/>
        </w:rPr>
      </w:pPr>
      <w:r>
        <w:rPr>
          <w:sz w:val="24"/>
        </w:rPr>
        <w:t>A Community Governance Rev</w:t>
      </w:r>
      <w:r w:rsidR="008B7961">
        <w:rPr>
          <w:sz w:val="24"/>
        </w:rPr>
        <w:t>iew</w:t>
      </w:r>
      <w:r w:rsidR="00227EB6">
        <w:rPr>
          <w:sz w:val="24"/>
        </w:rPr>
        <w:t xml:space="preserve"> (CGR)</w:t>
      </w:r>
      <w:r w:rsidR="007004AE">
        <w:rPr>
          <w:sz w:val="24"/>
        </w:rPr>
        <w:t xml:space="preserve"> provides the opportunity for</w:t>
      </w:r>
      <w:r w:rsidR="00CB5FA9">
        <w:rPr>
          <w:sz w:val="24"/>
        </w:rPr>
        <w:t xml:space="preserve"> </w:t>
      </w:r>
      <w:r w:rsidR="008B7961">
        <w:rPr>
          <w:sz w:val="24"/>
        </w:rPr>
        <w:t xml:space="preserve">the Council to </w:t>
      </w:r>
      <w:r w:rsidR="007004AE">
        <w:rPr>
          <w:sz w:val="24"/>
        </w:rPr>
        <w:t xml:space="preserve">review and make changes </w:t>
      </w:r>
      <w:r w:rsidR="008B7961">
        <w:rPr>
          <w:sz w:val="24"/>
        </w:rPr>
        <w:t xml:space="preserve">to the existing </w:t>
      </w:r>
      <w:r w:rsidR="007004AE">
        <w:rPr>
          <w:sz w:val="24"/>
        </w:rPr>
        <w:t xml:space="preserve">governance </w:t>
      </w:r>
      <w:r w:rsidR="008B7961">
        <w:rPr>
          <w:sz w:val="24"/>
        </w:rPr>
        <w:t>arrangements</w:t>
      </w:r>
      <w:r w:rsidR="007004AE">
        <w:rPr>
          <w:sz w:val="24"/>
        </w:rPr>
        <w:t xml:space="preserve"> of </w:t>
      </w:r>
      <w:r w:rsidR="00B052C2">
        <w:rPr>
          <w:sz w:val="24"/>
        </w:rPr>
        <w:t>P</w:t>
      </w:r>
      <w:r w:rsidR="007004AE">
        <w:rPr>
          <w:sz w:val="24"/>
        </w:rPr>
        <w:t xml:space="preserve">arish and </w:t>
      </w:r>
      <w:r w:rsidR="00B052C2">
        <w:rPr>
          <w:sz w:val="24"/>
        </w:rPr>
        <w:t>T</w:t>
      </w:r>
      <w:r w:rsidR="007004AE">
        <w:rPr>
          <w:sz w:val="24"/>
        </w:rPr>
        <w:t xml:space="preserve">own </w:t>
      </w:r>
      <w:r w:rsidR="00B052C2">
        <w:rPr>
          <w:sz w:val="24"/>
        </w:rPr>
        <w:t>C</w:t>
      </w:r>
      <w:r w:rsidR="007004AE">
        <w:rPr>
          <w:sz w:val="24"/>
        </w:rPr>
        <w:t>ouncils</w:t>
      </w:r>
      <w:r w:rsidR="00CB5FA9">
        <w:rPr>
          <w:sz w:val="24"/>
        </w:rPr>
        <w:t xml:space="preserve"> in the district</w:t>
      </w:r>
      <w:r w:rsidR="008B7961">
        <w:rPr>
          <w:sz w:val="24"/>
        </w:rPr>
        <w:t xml:space="preserve">, </w:t>
      </w:r>
      <w:proofErr w:type="gramStart"/>
      <w:r w:rsidR="008B7961">
        <w:rPr>
          <w:sz w:val="24"/>
        </w:rPr>
        <w:t>in order to</w:t>
      </w:r>
      <w:proofErr w:type="gramEnd"/>
      <w:r w:rsidR="008B7961">
        <w:rPr>
          <w:sz w:val="24"/>
        </w:rPr>
        <w:t xml:space="preserve"> ensure that</w:t>
      </w:r>
      <w:r w:rsidR="002B1BAD">
        <w:rPr>
          <w:sz w:val="24"/>
        </w:rPr>
        <w:t>:</w:t>
      </w:r>
    </w:p>
    <w:p w14:paraId="23308152" w14:textId="76401F00" w:rsidR="002B1BAD" w:rsidRDefault="002B1BAD" w:rsidP="0075060E">
      <w:pPr>
        <w:pStyle w:val="ListParagraph"/>
        <w:numPr>
          <w:ilvl w:val="2"/>
          <w:numId w:val="1"/>
        </w:numPr>
        <w:spacing w:line="276" w:lineRule="auto"/>
        <w:ind w:left="1276" w:hanging="709"/>
        <w:jc w:val="both"/>
        <w:rPr>
          <w:sz w:val="24"/>
        </w:rPr>
      </w:pPr>
      <w:r>
        <w:rPr>
          <w:sz w:val="24"/>
        </w:rPr>
        <w:t>P</w:t>
      </w:r>
      <w:r w:rsidR="008B7961">
        <w:rPr>
          <w:sz w:val="24"/>
        </w:rPr>
        <w:t xml:space="preserve">arish governance is robust, </w:t>
      </w:r>
      <w:proofErr w:type="gramStart"/>
      <w:r w:rsidR="008B7961">
        <w:rPr>
          <w:sz w:val="24"/>
        </w:rPr>
        <w:t>representative</w:t>
      </w:r>
      <w:proofErr w:type="gramEnd"/>
      <w:r w:rsidR="008B7961">
        <w:rPr>
          <w:sz w:val="24"/>
        </w:rPr>
        <w:t xml:space="preserve"> and able to meet new challenges; and </w:t>
      </w:r>
    </w:p>
    <w:p w14:paraId="16DDFAF0" w14:textId="69F72A17" w:rsidR="00D65561" w:rsidRDefault="007004AE" w:rsidP="0075060E">
      <w:pPr>
        <w:pStyle w:val="ListParagraph"/>
        <w:numPr>
          <w:ilvl w:val="2"/>
          <w:numId w:val="1"/>
        </w:numPr>
        <w:spacing w:line="276" w:lineRule="auto"/>
        <w:ind w:left="1276" w:hanging="709"/>
        <w:jc w:val="both"/>
        <w:rPr>
          <w:sz w:val="24"/>
        </w:rPr>
      </w:pPr>
      <w:r>
        <w:rPr>
          <w:sz w:val="24"/>
        </w:rPr>
        <w:t>T</w:t>
      </w:r>
      <w:r w:rsidR="008B7961">
        <w:rPr>
          <w:sz w:val="24"/>
        </w:rPr>
        <w:t>here is clarity and transparency to the areas that parish/town councils represent and t</w:t>
      </w:r>
      <w:r w:rsidR="00D65561">
        <w:rPr>
          <w:sz w:val="24"/>
        </w:rPr>
        <w:t>hat the electoral arrangements of</w:t>
      </w:r>
      <w:r w:rsidR="008B7961">
        <w:rPr>
          <w:sz w:val="24"/>
        </w:rPr>
        <w:t xml:space="preserve"> parishes are appropriate, equitable and readily understood by their electorates. </w:t>
      </w:r>
    </w:p>
    <w:p w14:paraId="5CF07BFD" w14:textId="77777777" w:rsidR="00385BCC" w:rsidRPr="002C7913" w:rsidRDefault="00385BCC" w:rsidP="0075060E">
      <w:pPr>
        <w:pStyle w:val="ListParagraph"/>
        <w:spacing w:line="276" w:lineRule="auto"/>
        <w:ind w:left="567"/>
        <w:jc w:val="both"/>
        <w:rPr>
          <w:sz w:val="16"/>
          <w:szCs w:val="16"/>
        </w:rPr>
      </w:pPr>
    </w:p>
    <w:p w14:paraId="10D17899" w14:textId="77777777" w:rsidR="002E5ABE" w:rsidRDefault="002E5ABE" w:rsidP="0075060E">
      <w:pPr>
        <w:pStyle w:val="ListParagraph"/>
        <w:numPr>
          <w:ilvl w:val="1"/>
          <w:numId w:val="1"/>
        </w:numPr>
        <w:spacing w:line="276" w:lineRule="auto"/>
        <w:ind w:left="567" w:hanging="567"/>
        <w:jc w:val="both"/>
        <w:rPr>
          <w:sz w:val="24"/>
        </w:rPr>
      </w:pPr>
      <w:r>
        <w:rPr>
          <w:sz w:val="24"/>
        </w:rPr>
        <w:t xml:space="preserve">A CGR can consider a number </w:t>
      </w:r>
      <w:r w:rsidR="000559BE">
        <w:rPr>
          <w:sz w:val="24"/>
        </w:rPr>
        <w:t>of issues, including whether to</w:t>
      </w:r>
      <w:r w:rsidR="00D65561">
        <w:rPr>
          <w:sz w:val="24"/>
        </w:rPr>
        <w:t>:</w:t>
      </w:r>
    </w:p>
    <w:p w14:paraId="4F0C3755" w14:textId="71E71261" w:rsidR="002E5ABE" w:rsidRDefault="00CC3581" w:rsidP="0075060E">
      <w:pPr>
        <w:pStyle w:val="ListParagraph"/>
        <w:numPr>
          <w:ilvl w:val="2"/>
          <w:numId w:val="1"/>
        </w:numPr>
        <w:spacing w:line="276" w:lineRule="auto"/>
        <w:ind w:left="1276" w:hanging="709"/>
        <w:jc w:val="both"/>
        <w:rPr>
          <w:sz w:val="24"/>
        </w:rPr>
      </w:pPr>
      <w:r>
        <w:rPr>
          <w:sz w:val="24"/>
        </w:rPr>
        <w:t>Abolish or c</w:t>
      </w:r>
      <w:r w:rsidR="002E5ABE">
        <w:rPr>
          <w:sz w:val="24"/>
        </w:rPr>
        <w:t xml:space="preserve">reate a new parish (this may be where an area is not currently </w:t>
      </w:r>
      <w:proofErr w:type="spellStart"/>
      <w:r w:rsidR="002E5ABE">
        <w:rPr>
          <w:sz w:val="24"/>
        </w:rPr>
        <w:t>parished</w:t>
      </w:r>
      <w:proofErr w:type="spellEnd"/>
      <w:r w:rsidR="002E5ABE">
        <w:rPr>
          <w:sz w:val="24"/>
        </w:rPr>
        <w:t>, or as a result of bringing together two or more existing parishes);</w:t>
      </w:r>
    </w:p>
    <w:p w14:paraId="48B8F52B" w14:textId="30C8F90C" w:rsidR="006D7929" w:rsidRDefault="007A2E96" w:rsidP="0075060E">
      <w:pPr>
        <w:pStyle w:val="ListParagraph"/>
        <w:numPr>
          <w:ilvl w:val="2"/>
          <w:numId w:val="1"/>
        </w:numPr>
        <w:spacing w:line="276" w:lineRule="auto"/>
        <w:ind w:left="1276" w:hanging="709"/>
        <w:jc w:val="both"/>
        <w:rPr>
          <w:sz w:val="24"/>
        </w:rPr>
      </w:pPr>
      <w:r>
        <w:rPr>
          <w:sz w:val="24"/>
        </w:rPr>
        <w:t xml:space="preserve">Change the name of a Parish or </w:t>
      </w:r>
      <w:r w:rsidR="00DA39BF">
        <w:rPr>
          <w:sz w:val="24"/>
        </w:rPr>
        <w:t xml:space="preserve">set </w:t>
      </w:r>
      <w:r w:rsidR="00DE0483">
        <w:rPr>
          <w:sz w:val="24"/>
        </w:rPr>
        <w:t>the style of</w:t>
      </w:r>
      <w:r w:rsidR="007004AE">
        <w:rPr>
          <w:sz w:val="24"/>
        </w:rPr>
        <w:t xml:space="preserve"> a </w:t>
      </w:r>
      <w:r w:rsidR="00F96F9A">
        <w:rPr>
          <w:sz w:val="24"/>
        </w:rPr>
        <w:t xml:space="preserve">new </w:t>
      </w:r>
      <w:r w:rsidR="007004AE">
        <w:rPr>
          <w:sz w:val="24"/>
        </w:rPr>
        <w:t>Parish</w:t>
      </w:r>
      <w:r>
        <w:rPr>
          <w:sz w:val="24"/>
        </w:rPr>
        <w:t xml:space="preserve"> </w:t>
      </w:r>
      <w:proofErr w:type="gramStart"/>
      <w:r>
        <w:rPr>
          <w:sz w:val="24"/>
        </w:rPr>
        <w:t>Councils</w:t>
      </w:r>
      <w:r w:rsidR="006D7929">
        <w:rPr>
          <w:sz w:val="24"/>
        </w:rPr>
        <w:t>;</w:t>
      </w:r>
      <w:proofErr w:type="gramEnd"/>
    </w:p>
    <w:p w14:paraId="22B3A919" w14:textId="5B33BA1C" w:rsidR="002E5ABE" w:rsidRDefault="002E5ABE" w:rsidP="0075060E">
      <w:pPr>
        <w:pStyle w:val="ListParagraph"/>
        <w:numPr>
          <w:ilvl w:val="2"/>
          <w:numId w:val="1"/>
        </w:numPr>
        <w:spacing w:line="276" w:lineRule="auto"/>
        <w:ind w:left="1276" w:hanging="709"/>
        <w:jc w:val="both"/>
        <w:rPr>
          <w:sz w:val="24"/>
        </w:rPr>
      </w:pPr>
      <w:r>
        <w:rPr>
          <w:sz w:val="24"/>
        </w:rPr>
        <w:t xml:space="preserve">Alter the boundary </w:t>
      </w:r>
      <w:r w:rsidR="00DA13D9">
        <w:rPr>
          <w:sz w:val="24"/>
        </w:rPr>
        <w:t xml:space="preserve">or warding arrangements </w:t>
      </w:r>
      <w:r w:rsidR="00A05983">
        <w:rPr>
          <w:sz w:val="24"/>
        </w:rPr>
        <w:t xml:space="preserve">of one or more existing </w:t>
      </w:r>
      <w:proofErr w:type="gramStart"/>
      <w:r w:rsidR="00B052C2">
        <w:rPr>
          <w:sz w:val="24"/>
        </w:rPr>
        <w:t>P</w:t>
      </w:r>
      <w:r w:rsidR="00A05983">
        <w:rPr>
          <w:sz w:val="24"/>
        </w:rPr>
        <w:t>arish</w:t>
      </w:r>
      <w:r>
        <w:rPr>
          <w:sz w:val="24"/>
        </w:rPr>
        <w:t>;</w:t>
      </w:r>
      <w:proofErr w:type="gramEnd"/>
    </w:p>
    <w:p w14:paraId="616AE92A" w14:textId="0E091BD2" w:rsidR="002E5ABE" w:rsidRDefault="002E5ABE" w:rsidP="0075060E">
      <w:pPr>
        <w:pStyle w:val="ListParagraph"/>
        <w:numPr>
          <w:ilvl w:val="2"/>
          <w:numId w:val="1"/>
        </w:numPr>
        <w:spacing w:line="276" w:lineRule="auto"/>
        <w:ind w:left="1276" w:hanging="709"/>
        <w:jc w:val="both"/>
        <w:rPr>
          <w:sz w:val="24"/>
        </w:rPr>
      </w:pPr>
      <w:r>
        <w:rPr>
          <w:sz w:val="24"/>
        </w:rPr>
        <w:t xml:space="preserve">Bring </w:t>
      </w:r>
      <w:proofErr w:type="gramStart"/>
      <w:r>
        <w:rPr>
          <w:sz w:val="24"/>
        </w:rPr>
        <w:t>a number of</w:t>
      </w:r>
      <w:proofErr w:type="gramEnd"/>
      <w:r>
        <w:rPr>
          <w:sz w:val="24"/>
        </w:rPr>
        <w:t xml:space="preserve"> </w:t>
      </w:r>
      <w:r w:rsidR="00B052C2">
        <w:rPr>
          <w:sz w:val="24"/>
        </w:rPr>
        <w:t>P</w:t>
      </w:r>
      <w:r>
        <w:rPr>
          <w:sz w:val="24"/>
        </w:rPr>
        <w:t>arishes together as a grouped parish council; and</w:t>
      </w:r>
    </w:p>
    <w:p w14:paraId="66C61BCA" w14:textId="182E50F9" w:rsidR="00CB5FA9" w:rsidRDefault="002E5ABE" w:rsidP="00C300F0">
      <w:pPr>
        <w:pStyle w:val="ListParagraph"/>
        <w:numPr>
          <w:ilvl w:val="2"/>
          <w:numId w:val="1"/>
        </w:numPr>
        <w:spacing w:line="276" w:lineRule="auto"/>
        <w:ind w:left="1276" w:hanging="709"/>
        <w:jc w:val="both"/>
        <w:rPr>
          <w:sz w:val="24"/>
        </w:rPr>
      </w:pPr>
      <w:r>
        <w:rPr>
          <w:sz w:val="24"/>
        </w:rPr>
        <w:t xml:space="preserve">Alter the number of seats on an existing </w:t>
      </w:r>
      <w:r w:rsidR="00B052C2">
        <w:rPr>
          <w:sz w:val="24"/>
        </w:rPr>
        <w:t>P</w:t>
      </w:r>
      <w:r>
        <w:rPr>
          <w:sz w:val="24"/>
        </w:rPr>
        <w:t xml:space="preserve">arish </w:t>
      </w:r>
      <w:r w:rsidR="00B052C2">
        <w:rPr>
          <w:sz w:val="24"/>
        </w:rPr>
        <w:t>C</w:t>
      </w:r>
      <w:r>
        <w:rPr>
          <w:sz w:val="24"/>
        </w:rPr>
        <w:t>ouncil</w:t>
      </w:r>
      <w:r w:rsidR="007004AE">
        <w:rPr>
          <w:sz w:val="24"/>
        </w:rPr>
        <w:t>.</w:t>
      </w:r>
      <w:r>
        <w:rPr>
          <w:sz w:val="24"/>
        </w:rPr>
        <w:t xml:space="preserve"> </w:t>
      </w:r>
      <w:r w:rsidR="00D65561">
        <w:rPr>
          <w:sz w:val="24"/>
        </w:rPr>
        <w:tab/>
      </w:r>
    </w:p>
    <w:p w14:paraId="495C14C1" w14:textId="77777777" w:rsidR="000A2875" w:rsidRDefault="000A2875" w:rsidP="00C300F0">
      <w:pPr>
        <w:spacing w:line="360" w:lineRule="auto"/>
        <w:jc w:val="both"/>
        <w:rPr>
          <w:sz w:val="24"/>
        </w:rPr>
      </w:pPr>
    </w:p>
    <w:p w14:paraId="7448AAD8" w14:textId="15BD9E35" w:rsidR="00E34471" w:rsidRDefault="0091489F" w:rsidP="0075060E">
      <w:pPr>
        <w:spacing w:line="276" w:lineRule="auto"/>
        <w:ind w:left="567" w:hanging="567"/>
        <w:jc w:val="both"/>
        <w:rPr>
          <w:sz w:val="24"/>
        </w:rPr>
      </w:pPr>
      <w:r>
        <w:rPr>
          <w:sz w:val="24"/>
        </w:rPr>
        <w:t>1.</w:t>
      </w:r>
      <w:r w:rsidR="00CB5FA9">
        <w:rPr>
          <w:sz w:val="24"/>
        </w:rPr>
        <w:t>3</w:t>
      </w:r>
      <w:r>
        <w:rPr>
          <w:sz w:val="24"/>
        </w:rPr>
        <w:tab/>
      </w:r>
      <w:r w:rsidR="00E34471">
        <w:rPr>
          <w:sz w:val="24"/>
        </w:rPr>
        <w:t>A CGR may not alter the external boundary of the Stroud district or any other principal council. However, the review may make consequential electoral arrangement recommendations to the Local Government Boundary Commission for England regarding the District Wards and the Electoral Divisions of Gloucestershire County Council where there is sufficient evidence that this would</w:t>
      </w:r>
      <w:r w:rsidR="00947C97">
        <w:rPr>
          <w:sz w:val="24"/>
        </w:rPr>
        <w:t xml:space="preserve"> </w:t>
      </w:r>
      <w:r w:rsidR="00E34471">
        <w:rPr>
          <w:sz w:val="24"/>
        </w:rPr>
        <w:t>result in more convenient electoral arrangements.</w:t>
      </w:r>
    </w:p>
    <w:p w14:paraId="6B98C886" w14:textId="77777777" w:rsidR="005B5972" w:rsidRDefault="005B5972" w:rsidP="0075060E">
      <w:pPr>
        <w:spacing w:line="276" w:lineRule="auto"/>
        <w:ind w:left="567" w:hanging="567"/>
        <w:jc w:val="both"/>
        <w:rPr>
          <w:sz w:val="24"/>
        </w:rPr>
      </w:pPr>
    </w:p>
    <w:p w14:paraId="74915CF6" w14:textId="4AE564BD" w:rsidR="0091489F" w:rsidRDefault="00CB5FA9" w:rsidP="00C300F0">
      <w:pPr>
        <w:spacing w:line="276" w:lineRule="auto"/>
        <w:ind w:left="630" w:hanging="630"/>
        <w:jc w:val="both"/>
        <w:rPr>
          <w:sz w:val="24"/>
        </w:rPr>
      </w:pPr>
      <w:r>
        <w:rPr>
          <w:sz w:val="24"/>
        </w:rPr>
        <w:t>1.4</w:t>
      </w:r>
      <w:r>
        <w:rPr>
          <w:sz w:val="24"/>
        </w:rPr>
        <w:tab/>
        <w:t>There is no requirement to change existing arrangements within parishes undertaking a CGR if it is felt that they are fit for purpose.</w:t>
      </w:r>
    </w:p>
    <w:p w14:paraId="5C4E8728" w14:textId="77777777" w:rsidR="00063804" w:rsidRPr="002B1BAD" w:rsidRDefault="00063804" w:rsidP="00227EB6">
      <w:pPr>
        <w:spacing w:line="360" w:lineRule="auto"/>
        <w:ind w:left="567" w:hanging="567"/>
        <w:jc w:val="both"/>
        <w:rPr>
          <w:sz w:val="16"/>
          <w:szCs w:val="16"/>
        </w:rPr>
      </w:pPr>
    </w:p>
    <w:p w14:paraId="4BA3F368" w14:textId="149F1E41" w:rsidR="002C7913" w:rsidRPr="002C7913" w:rsidRDefault="002C7913" w:rsidP="00227EB6">
      <w:pPr>
        <w:spacing w:line="360" w:lineRule="auto"/>
        <w:ind w:left="567" w:hanging="567"/>
        <w:jc w:val="both"/>
        <w:rPr>
          <w:b/>
          <w:sz w:val="24"/>
        </w:rPr>
      </w:pPr>
      <w:r w:rsidRPr="002C7913">
        <w:rPr>
          <w:b/>
          <w:sz w:val="24"/>
        </w:rPr>
        <w:t>2.</w:t>
      </w:r>
      <w:r w:rsidRPr="002C7913">
        <w:rPr>
          <w:b/>
          <w:sz w:val="24"/>
        </w:rPr>
        <w:tab/>
        <w:t xml:space="preserve">WHY </w:t>
      </w:r>
      <w:r w:rsidR="007004AE">
        <w:rPr>
          <w:b/>
          <w:sz w:val="24"/>
        </w:rPr>
        <w:t>UNDERTAKE</w:t>
      </w:r>
      <w:r w:rsidR="007004AE" w:rsidRPr="002C7913">
        <w:rPr>
          <w:b/>
          <w:sz w:val="24"/>
        </w:rPr>
        <w:t xml:space="preserve"> </w:t>
      </w:r>
      <w:r w:rsidRPr="002C7913">
        <w:rPr>
          <w:b/>
          <w:sz w:val="24"/>
        </w:rPr>
        <w:t>A COMMUNITY GOVERNANCE REVIEW</w:t>
      </w:r>
      <w:r w:rsidR="007004AE">
        <w:rPr>
          <w:b/>
          <w:sz w:val="24"/>
        </w:rPr>
        <w:t>?</w:t>
      </w:r>
    </w:p>
    <w:p w14:paraId="6BBDA981" w14:textId="77777777" w:rsidR="002C7913" w:rsidRPr="002B1BAD" w:rsidRDefault="002C7913" w:rsidP="00227EB6">
      <w:pPr>
        <w:spacing w:line="360" w:lineRule="auto"/>
        <w:ind w:left="567" w:hanging="567"/>
        <w:jc w:val="both"/>
        <w:rPr>
          <w:sz w:val="16"/>
          <w:szCs w:val="16"/>
        </w:rPr>
      </w:pPr>
    </w:p>
    <w:p w14:paraId="115B67E4" w14:textId="77777777" w:rsidR="00E47955" w:rsidRDefault="002C7913" w:rsidP="0075060E">
      <w:pPr>
        <w:spacing w:line="276" w:lineRule="auto"/>
        <w:ind w:left="567" w:hanging="567"/>
        <w:jc w:val="both"/>
        <w:rPr>
          <w:rFonts w:cs="Arial"/>
          <w:sz w:val="24"/>
        </w:rPr>
      </w:pPr>
      <w:r>
        <w:rPr>
          <w:sz w:val="24"/>
        </w:rPr>
        <w:t>2.1</w:t>
      </w:r>
      <w:r>
        <w:rPr>
          <w:sz w:val="24"/>
        </w:rPr>
        <w:tab/>
      </w:r>
      <w:r w:rsidR="00E34471">
        <w:rPr>
          <w:sz w:val="24"/>
        </w:rPr>
        <w:t xml:space="preserve">The council has the power to conduct a review of any part of the council’s area at any time. </w:t>
      </w:r>
      <w:r>
        <w:rPr>
          <w:rFonts w:cs="Arial"/>
          <w:sz w:val="24"/>
        </w:rPr>
        <w:t xml:space="preserve">The Local Government Boundary Commission for England recommends that councils review local government arrangements every 10 to 15 years. </w:t>
      </w:r>
    </w:p>
    <w:p w14:paraId="54816DB2" w14:textId="77777777" w:rsidR="00E47955" w:rsidRDefault="00E47955" w:rsidP="0075060E">
      <w:pPr>
        <w:spacing w:line="276" w:lineRule="auto"/>
        <w:ind w:left="567" w:hanging="567"/>
        <w:jc w:val="both"/>
        <w:rPr>
          <w:rFonts w:cs="Arial"/>
          <w:sz w:val="24"/>
        </w:rPr>
      </w:pPr>
    </w:p>
    <w:p w14:paraId="32555109" w14:textId="047E4EBF" w:rsidR="00E47955" w:rsidRDefault="00E47955" w:rsidP="00124A2B">
      <w:pPr>
        <w:spacing w:line="276" w:lineRule="auto"/>
        <w:ind w:left="567" w:hanging="567"/>
        <w:jc w:val="both"/>
        <w:rPr>
          <w:rFonts w:cs="Arial"/>
          <w:sz w:val="24"/>
        </w:rPr>
      </w:pPr>
      <w:r>
        <w:rPr>
          <w:rFonts w:cs="Arial"/>
          <w:sz w:val="24"/>
        </w:rPr>
        <w:t>2.2</w:t>
      </w:r>
      <w:r>
        <w:rPr>
          <w:rFonts w:cs="Arial"/>
          <w:sz w:val="24"/>
        </w:rPr>
        <w:tab/>
      </w:r>
      <w:r w:rsidR="00F83FD9">
        <w:rPr>
          <w:rFonts w:cs="Arial"/>
          <w:sz w:val="24"/>
        </w:rPr>
        <w:t>A</w:t>
      </w:r>
      <w:r w:rsidR="002C7913">
        <w:rPr>
          <w:rFonts w:cs="Arial"/>
          <w:sz w:val="24"/>
        </w:rPr>
        <w:t xml:space="preserve"> </w:t>
      </w:r>
      <w:r w:rsidR="00F83FD9">
        <w:rPr>
          <w:rFonts w:cs="Arial"/>
          <w:sz w:val="24"/>
        </w:rPr>
        <w:t xml:space="preserve">full </w:t>
      </w:r>
      <w:r w:rsidR="002C7913">
        <w:rPr>
          <w:rFonts w:cs="Arial"/>
          <w:sz w:val="24"/>
        </w:rPr>
        <w:t xml:space="preserve">CGR took place </w:t>
      </w:r>
      <w:r w:rsidR="00D503A6">
        <w:rPr>
          <w:rFonts w:cs="Arial"/>
          <w:sz w:val="24"/>
        </w:rPr>
        <w:t xml:space="preserve">across the whole of </w:t>
      </w:r>
      <w:r w:rsidR="00F83FD9">
        <w:rPr>
          <w:rFonts w:cs="Arial"/>
          <w:sz w:val="24"/>
        </w:rPr>
        <w:t xml:space="preserve">the Stroud </w:t>
      </w:r>
      <w:r w:rsidR="00CB5FA9">
        <w:rPr>
          <w:rFonts w:cs="Arial"/>
          <w:sz w:val="24"/>
        </w:rPr>
        <w:t>d</w:t>
      </w:r>
      <w:r w:rsidR="00F83FD9">
        <w:rPr>
          <w:rFonts w:cs="Arial"/>
          <w:sz w:val="24"/>
        </w:rPr>
        <w:t xml:space="preserve">istrict in </w:t>
      </w:r>
      <w:r w:rsidR="00CE6EE9">
        <w:rPr>
          <w:rFonts w:cs="Arial"/>
          <w:sz w:val="24"/>
        </w:rPr>
        <w:t>201</w:t>
      </w:r>
      <w:r w:rsidR="00F83FD9">
        <w:rPr>
          <w:rFonts w:cs="Arial"/>
          <w:sz w:val="24"/>
        </w:rPr>
        <w:t>9</w:t>
      </w:r>
      <w:r w:rsidR="00D503A6">
        <w:rPr>
          <w:rFonts w:cs="Arial"/>
          <w:sz w:val="24"/>
        </w:rPr>
        <w:t xml:space="preserve"> and several changes were implemented across </w:t>
      </w:r>
      <w:proofErr w:type="gramStart"/>
      <w:r w:rsidR="00D503A6">
        <w:rPr>
          <w:rFonts w:cs="Arial"/>
          <w:sz w:val="24"/>
        </w:rPr>
        <w:t>a number of</w:t>
      </w:r>
      <w:proofErr w:type="gramEnd"/>
      <w:r w:rsidR="00D503A6">
        <w:rPr>
          <w:rFonts w:cs="Arial"/>
          <w:sz w:val="24"/>
        </w:rPr>
        <w:t xml:space="preserve"> parish and town council areas including the establishment of Hunts Grove Parish Council.</w:t>
      </w:r>
      <w:r w:rsidR="00E34471">
        <w:rPr>
          <w:rFonts w:cs="Arial"/>
          <w:sz w:val="24"/>
        </w:rPr>
        <w:t xml:space="preserve"> </w:t>
      </w:r>
      <w:r w:rsidR="00D503A6">
        <w:rPr>
          <w:rFonts w:cs="Arial"/>
          <w:sz w:val="24"/>
        </w:rPr>
        <w:t>When approving the final recommendations of th</w:t>
      </w:r>
      <w:r>
        <w:rPr>
          <w:rFonts w:cs="Arial"/>
          <w:sz w:val="24"/>
        </w:rPr>
        <w:t>e 2019</w:t>
      </w:r>
      <w:r w:rsidR="00D503A6">
        <w:rPr>
          <w:rFonts w:cs="Arial"/>
          <w:sz w:val="24"/>
        </w:rPr>
        <w:t xml:space="preserve"> review, Council resolved for </w:t>
      </w:r>
      <w:r w:rsidR="00B933CD">
        <w:rPr>
          <w:rFonts w:cs="Arial"/>
          <w:sz w:val="24"/>
        </w:rPr>
        <w:t xml:space="preserve">a further CGR to be undertaken </w:t>
      </w:r>
      <w:r w:rsidR="00F83FD9">
        <w:rPr>
          <w:rFonts w:cs="Arial"/>
          <w:sz w:val="24"/>
        </w:rPr>
        <w:t xml:space="preserve">for the parishes </w:t>
      </w:r>
      <w:r w:rsidR="0054320F">
        <w:rPr>
          <w:rFonts w:cs="Arial"/>
          <w:sz w:val="24"/>
        </w:rPr>
        <w:t xml:space="preserve">that </w:t>
      </w:r>
      <w:r w:rsidR="00F83FD9">
        <w:rPr>
          <w:rFonts w:cs="Arial"/>
          <w:sz w:val="24"/>
        </w:rPr>
        <w:t xml:space="preserve">contain the Great Oldbury development (Eastington, Standish and Stonehouse) </w:t>
      </w:r>
      <w:r w:rsidR="00603748">
        <w:rPr>
          <w:rFonts w:cs="Arial"/>
          <w:sz w:val="24"/>
        </w:rPr>
        <w:t>by the end of</w:t>
      </w:r>
      <w:r w:rsidR="00F83FD9">
        <w:rPr>
          <w:rFonts w:cs="Arial"/>
          <w:sz w:val="24"/>
        </w:rPr>
        <w:t xml:space="preserve"> 2023.</w:t>
      </w:r>
      <w:r w:rsidR="00124A2B">
        <w:rPr>
          <w:rFonts w:cs="Arial"/>
          <w:sz w:val="24"/>
        </w:rPr>
        <w:t xml:space="preserve"> The reason</w:t>
      </w:r>
      <w:r w:rsidR="00CB5FA9">
        <w:rPr>
          <w:rFonts w:cs="Arial"/>
          <w:sz w:val="24"/>
        </w:rPr>
        <w:t>ing</w:t>
      </w:r>
      <w:r w:rsidR="00124A2B">
        <w:rPr>
          <w:rFonts w:cs="Arial"/>
          <w:sz w:val="24"/>
        </w:rPr>
        <w:t xml:space="preserve"> for this was that at the time of the last review, Great Oldbury was a new development and any decisions made may not reflect the identity of a community which was yet to have established. </w:t>
      </w:r>
      <w:r w:rsidR="00CB651A">
        <w:rPr>
          <w:rFonts w:cs="Arial"/>
          <w:sz w:val="24"/>
        </w:rPr>
        <w:t xml:space="preserve"> </w:t>
      </w:r>
    </w:p>
    <w:p w14:paraId="692AD540" w14:textId="2B43DA1C" w:rsidR="006D7929" w:rsidRDefault="006D7929" w:rsidP="0075060E">
      <w:pPr>
        <w:spacing w:line="276" w:lineRule="auto"/>
        <w:ind w:left="567" w:hanging="567"/>
        <w:jc w:val="both"/>
        <w:rPr>
          <w:rFonts w:cs="Arial"/>
          <w:sz w:val="24"/>
        </w:rPr>
      </w:pPr>
    </w:p>
    <w:p w14:paraId="65132030" w14:textId="2A0BEA5F" w:rsidR="006D7929" w:rsidRDefault="006D7929" w:rsidP="0075060E">
      <w:pPr>
        <w:spacing w:line="276" w:lineRule="auto"/>
        <w:ind w:left="567" w:hanging="567"/>
        <w:jc w:val="both"/>
        <w:rPr>
          <w:rFonts w:cs="Arial"/>
          <w:sz w:val="24"/>
        </w:rPr>
      </w:pPr>
      <w:r>
        <w:rPr>
          <w:rFonts w:cs="Arial"/>
          <w:sz w:val="24"/>
        </w:rPr>
        <w:t>2.</w:t>
      </w:r>
      <w:r w:rsidR="00011D78">
        <w:rPr>
          <w:rFonts w:cs="Arial"/>
          <w:sz w:val="24"/>
        </w:rPr>
        <w:t>3</w:t>
      </w:r>
      <w:r>
        <w:rPr>
          <w:rFonts w:cs="Arial"/>
          <w:sz w:val="24"/>
        </w:rPr>
        <w:tab/>
      </w:r>
      <w:r w:rsidR="00B933CD">
        <w:rPr>
          <w:rFonts w:cs="Arial"/>
          <w:sz w:val="24"/>
        </w:rPr>
        <w:t xml:space="preserve">Ahead of commencing this CGR, all Parish and Town Councils were asked if there had been any significant changes to their electoral arrangements since 2019 and whether </w:t>
      </w:r>
      <w:r w:rsidR="0054320F">
        <w:rPr>
          <w:rFonts w:cs="Arial"/>
          <w:sz w:val="24"/>
        </w:rPr>
        <w:t>their parish or town council areas should be considered for a CGR.</w:t>
      </w:r>
      <w:r w:rsidRPr="002E7FD4">
        <w:rPr>
          <w:rFonts w:cs="Arial"/>
          <w:sz w:val="24"/>
        </w:rPr>
        <w:t xml:space="preserve"> </w:t>
      </w:r>
      <w:proofErr w:type="gramStart"/>
      <w:r w:rsidR="0054320F">
        <w:rPr>
          <w:rFonts w:cs="Arial"/>
          <w:sz w:val="24"/>
        </w:rPr>
        <w:t xml:space="preserve">Representations </w:t>
      </w:r>
      <w:r w:rsidR="008B6A2F" w:rsidRPr="002E7FD4">
        <w:rPr>
          <w:rFonts w:cs="Arial"/>
          <w:sz w:val="24"/>
        </w:rPr>
        <w:t xml:space="preserve"> </w:t>
      </w:r>
      <w:r w:rsidR="00603748">
        <w:rPr>
          <w:rFonts w:cs="Arial"/>
          <w:sz w:val="24"/>
        </w:rPr>
        <w:t>were</w:t>
      </w:r>
      <w:proofErr w:type="gramEnd"/>
      <w:r w:rsidR="008B6A2F" w:rsidRPr="002E7FD4">
        <w:rPr>
          <w:rFonts w:cs="Arial"/>
          <w:sz w:val="24"/>
        </w:rPr>
        <w:t xml:space="preserve"> received from </w:t>
      </w:r>
      <w:r w:rsidR="00A1113D" w:rsidRPr="002E7FD4">
        <w:rPr>
          <w:rFonts w:cs="Arial"/>
          <w:sz w:val="24"/>
        </w:rPr>
        <w:t>Cam, Dursley</w:t>
      </w:r>
      <w:r w:rsidR="002E7FD4" w:rsidRPr="002E7FD4">
        <w:rPr>
          <w:rFonts w:cs="Arial"/>
          <w:sz w:val="24"/>
        </w:rPr>
        <w:t>, Frampton</w:t>
      </w:r>
      <w:r w:rsidR="0054320F">
        <w:rPr>
          <w:rFonts w:cs="Arial"/>
          <w:sz w:val="24"/>
        </w:rPr>
        <w:t>-on-Severn</w:t>
      </w:r>
      <w:r w:rsidR="00C300F0">
        <w:rPr>
          <w:rFonts w:cs="Arial"/>
          <w:sz w:val="24"/>
        </w:rPr>
        <w:t>, Hunts Grove</w:t>
      </w:r>
      <w:r w:rsidR="002E7FD4" w:rsidRPr="002E7FD4">
        <w:rPr>
          <w:rFonts w:cs="Arial"/>
          <w:sz w:val="24"/>
        </w:rPr>
        <w:t xml:space="preserve"> and Nailsworth</w:t>
      </w:r>
      <w:r w:rsidR="00C902C1" w:rsidRPr="002E7FD4">
        <w:rPr>
          <w:rFonts w:cs="Arial"/>
          <w:sz w:val="24"/>
        </w:rPr>
        <w:t xml:space="preserve"> </w:t>
      </w:r>
      <w:r w:rsidR="008B6A2F" w:rsidRPr="002E7FD4">
        <w:rPr>
          <w:rFonts w:cs="Arial"/>
          <w:sz w:val="24"/>
        </w:rPr>
        <w:lastRenderedPageBreak/>
        <w:t>Parish/Town Councils</w:t>
      </w:r>
      <w:r w:rsidR="0054320F">
        <w:rPr>
          <w:rFonts w:cs="Arial"/>
          <w:sz w:val="24"/>
        </w:rPr>
        <w:t>. Reasons for a review to take place ranged from</w:t>
      </w:r>
      <w:r w:rsidR="005777D7" w:rsidRPr="002E7FD4">
        <w:rPr>
          <w:rFonts w:cs="Arial"/>
          <w:sz w:val="24"/>
        </w:rPr>
        <w:t xml:space="preserve"> </w:t>
      </w:r>
      <w:r w:rsidR="0054320F">
        <w:rPr>
          <w:rFonts w:cs="Arial"/>
          <w:sz w:val="24"/>
        </w:rPr>
        <w:t>increasing</w:t>
      </w:r>
      <w:r w:rsidR="00CB5FA9">
        <w:rPr>
          <w:rFonts w:cs="Arial"/>
          <w:sz w:val="24"/>
        </w:rPr>
        <w:t xml:space="preserve"> </w:t>
      </w:r>
      <w:r w:rsidR="005777D7" w:rsidRPr="002E7FD4">
        <w:rPr>
          <w:rFonts w:cs="Arial"/>
          <w:sz w:val="24"/>
        </w:rPr>
        <w:t xml:space="preserve">the number of </w:t>
      </w:r>
      <w:r w:rsidR="00CB5FA9">
        <w:rPr>
          <w:rFonts w:cs="Arial"/>
          <w:sz w:val="24"/>
        </w:rPr>
        <w:t>c</w:t>
      </w:r>
      <w:r w:rsidR="005777D7" w:rsidRPr="002E7FD4">
        <w:rPr>
          <w:rFonts w:cs="Arial"/>
          <w:sz w:val="24"/>
        </w:rPr>
        <w:t>ouncillors</w:t>
      </w:r>
      <w:r w:rsidR="0054320F">
        <w:rPr>
          <w:rFonts w:cs="Arial"/>
          <w:sz w:val="24"/>
        </w:rPr>
        <w:t xml:space="preserve"> on the council</w:t>
      </w:r>
      <w:r w:rsidR="00F96F9A">
        <w:rPr>
          <w:rFonts w:cs="Arial"/>
          <w:sz w:val="24"/>
        </w:rPr>
        <w:t xml:space="preserve"> to carrying out</w:t>
      </w:r>
      <w:r w:rsidR="002E7FD4" w:rsidRPr="002E7FD4">
        <w:rPr>
          <w:rFonts w:cs="Arial"/>
          <w:sz w:val="24"/>
        </w:rPr>
        <w:t xml:space="preserve"> </w:t>
      </w:r>
      <w:r w:rsidR="0054320F">
        <w:rPr>
          <w:rFonts w:cs="Arial"/>
          <w:sz w:val="24"/>
        </w:rPr>
        <w:t xml:space="preserve">a review of parish </w:t>
      </w:r>
      <w:r w:rsidR="002E7FD4" w:rsidRPr="002E7FD4">
        <w:rPr>
          <w:rFonts w:cs="Arial"/>
          <w:sz w:val="24"/>
        </w:rPr>
        <w:t>boundaries</w:t>
      </w:r>
      <w:r w:rsidR="0054320F">
        <w:rPr>
          <w:rFonts w:cs="Arial"/>
          <w:sz w:val="24"/>
        </w:rPr>
        <w:t xml:space="preserve"> as outlined in the table below</w:t>
      </w:r>
      <w:r w:rsidR="002E7FD4" w:rsidRPr="002E7FD4">
        <w:rPr>
          <w:rFonts w:cs="Arial"/>
          <w:sz w:val="24"/>
        </w:rPr>
        <w:t>.</w:t>
      </w:r>
      <w:r w:rsidR="008B6A2F">
        <w:rPr>
          <w:rFonts w:cs="Arial"/>
          <w:sz w:val="24"/>
        </w:rPr>
        <w:t xml:space="preserve"> </w:t>
      </w:r>
    </w:p>
    <w:p w14:paraId="2EE9AE88" w14:textId="3AC15E56" w:rsidR="0054320F" w:rsidRDefault="0054320F" w:rsidP="00C300F0">
      <w:pPr>
        <w:spacing w:line="276" w:lineRule="auto"/>
        <w:jc w:val="both"/>
        <w:rPr>
          <w:rFonts w:cs="Arial"/>
          <w:sz w:val="24"/>
        </w:rPr>
      </w:pPr>
    </w:p>
    <w:tbl>
      <w:tblPr>
        <w:tblStyle w:val="TableGrid"/>
        <w:tblW w:w="0" w:type="auto"/>
        <w:tblInd w:w="567" w:type="dxa"/>
        <w:tblLook w:val="04A0" w:firstRow="1" w:lastRow="0" w:firstColumn="1" w:lastColumn="0" w:noHBand="0" w:noVBand="1"/>
      </w:tblPr>
      <w:tblGrid>
        <w:gridCol w:w="4657"/>
        <w:gridCol w:w="4689"/>
      </w:tblGrid>
      <w:tr w:rsidR="0054320F" w14:paraId="7A71B9D6" w14:textId="77777777" w:rsidTr="0054320F">
        <w:tc>
          <w:tcPr>
            <w:tcW w:w="4956" w:type="dxa"/>
          </w:tcPr>
          <w:p w14:paraId="25E2BA4E" w14:textId="47AAD1C9" w:rsidR="0054320F" w:rsidRPr="00C300F0" w:rsidRDefault="0054320F" w:rsidP="0075060E">
            <w:pPr>
              <w:spacing w:line="276" w:lineRule="auto"/>
              <w:jc w:val="both"/>
              <w:rPr>
                <w:rFonts w:cs="Arial"/>
                <w:b/>
                <w:bCs/>
                <w:sz w:val="24"/>
              </w:rPr>
            </w:pPr>
            <w:r w:rsidRPr="00C300F0">
              <w:rPr>
                <w:rFonts w:cs="Arial"/>
                <w:b/>
                <w:bCs/>
                <w:sz w:val="24"/>
              </w:rPr>
              <w:t>Parish/Town Council</w:t>
            </w:r>
          </w:p>
        </w:tc>
        <w:tc>
          <w:tcPr>
            <w:tcW w:w="4957" w:type="dxa"/>
          </w:tcPr>
          <w:p w14:paraId="0611F85D" w14:textId="26276E34" w:rsidR="0054320F" w:rsidRPr="00C300F0" w:rsidRDefault="0054320F" w:rsidP="0075060E">
            <w:pPr>
              <w:spacing w:line="276" w:lineRule="auto"/>
              <w:jc w:val="both"/>
              <w:rPr>
                <w:rFonts w:cs="Arial"/>
                <w:b/>
                <w:bCs/>
                <w:sz w:val="24"/>
              </w:rPr>
            </w:pPr>
            <w:r w:rsidRPr="00C300F0">
              <w:rPr>
                <w:rFonts w:cs="Arial"/>
                <w:b/>
                <w:bCs/>
                <w:sz w:val="24"/>
              </w:rPr>
              <w:t xml:space="preserve">Reason </w:t>
            </w:r>
            <w:r w:rsidR="005106F7">
              <w:rPr>
                <w:rFonts w:cs="Arial"/>
                <w:b/>
                <w:bCs/>
                <w:sz w:val="24"/>
              </w:rPr>
              <w:t>for</w:t>
            </w:r>
            <w:r w:rsidRPr="00C300F0">
              <w:rPr>
                <w:rFonts w:cs="Arial"/>
                <w:b/>
                <w:bCs/>
                <w:sz w:val="24"/>
              </w:rPr>
              <w:t xml:space="preserve"> a </w:t>
            </w:r>
            <w:r w:rsidR="005106F7">
              <w:rPr>
                <w:rFonts w:cs="Arial"/>
                <w:b/>
                <w:bCs/>
                <w:sz w:val="24"/>
              </w:rPr>
              <w:t>CGR</w:t>
            </w:r>
          </w:p>
        </w:tc>
      </w:tr>
      <w:tr w:rsidR="0054320F" w14:paraId="52442800" w14:textId="77777777" w:rsidTr="0054320F">
        <w:tc>
          <w:tcPr>
            <w:tcW w:w="4956" w:type="dxa"/>
          </w:tcPr>
          <w:p w14:paraId="77F32D77" w14:textId="4BB392DB" w:rsidR="0054320F" w:rsidRDefault="0054320F" w:rsidP="0075060E">
            <w:pPr>
              <w:spacing w:line="276" w:lineRule="auto"/>
              <w:jc w:val="both"/>
              <w:rPr>
                <w:rFonts w:cs="Arial"/>
                <w:sz w:val="24"/>
              </w:rPr>
            </w:pPr>
            <w:r>
              <w:rPr>
                <w:rFonts w:cs="Arial"/>
                <w:sz w:val="24"/>
              </w:rPr>
              <w:t xml:space="preserve">Cam Parish Council </w:t>
            </w:r>
          </w:p>
        </w:tc>
        <w:tc>
          <w:tcPr>
            <w:tcW w:w="4957" w:type="dxa"/>
          </w:tcPr>
          <w:p w14:paraId="47242FA2" w14:textId="12506D7B" w:rsidR="0054320F" w:rsidRDefault="00F96F9A" w:rsidP="0075060E">
            <w:pPr>
              <w:spacing w:line="276" w:lineRule="auto"/>
              <w:jc w:val="both"/>
              <w:rPr>
                <w:rFonts w:cs="Arial"/>
                <w:sz w:val="24"/>
              </w:rPr>
            </w:pPr>
            <w:r>
              <w:rPr>
                <w:rFonts w:cs="Arial"/>
                <w:sz w:val="24"/>
              </w:rPr>
              <w:t>To increase the number of councillors on the council (currently 16)</w:t>
            </w:r>
          </w:p>
        </w:tc>
      </w:tr>
      <w:tr w:rsidR="0054320F" w14:paraId="1E46A66E" w14:textId="77777777" w:rsidTr="0054320F">
        <w:tc>
          <w:tcPr>
            <w:tcW w:w="4956" w:type="dxa"/>
          </w:tcPr>
          <w:p w14:paraId="1BBF7326" w14:textId="71FDB4E7" w:rsidR="0054320F" w:rsidRDefault="0054320F" w:rsidP="0075060E">
            <w:pPr>
              <w:spacing w:line="276" w:lineRule="auto"/>
              <w:jc w:val="both"/>
              <w:rPr>
                <w:rFonts w:cs="Arial"/>
                <w:sz w:val="24"/>
              </w:rPr>
            </w:pPr>
            <w:r>
              <w:rPr>
                <w:rFonts w:cs="Arial"/>
                <w:sz w:val="24"/>
              </w:rPr>
              <w:t>Dursley Town Council</w:t>
            </w:r>
          </w:p>
        </w:tc>
        <w:tc>
          <w:tcPr>
            <w:tcW w:w="4957" w:type="dxa"/>
          </w:tcPr>
          <w:p w14:paraId="1AB148E8" w14:textId="677F8BF4" w:rsidR="0054320F" w:rsidRDefault="005106F7" w:rsidP="0075060E">
            <w:pPr>
              <w:spacing w:line="276" w:lineRule="auto"/>
              <w:jc w:val="both"/>
              <w:rPr>
                <w:rFonts w:cs="Arial"/>
                <w:sz w:val="24"/>
              </w:rPr>
            </w:pPr>
            <w:r>
              <w:rPr>
                <w:rFonts w:cs="Arial"/>
                <w:sz w:val="24"/>
              </w:rPr>
              <w:t xml:space="preserve">To increase the number of </w:t>
            </w:r>
            <w:r w:rsidR="00011D78">
              <w:rPr>
                <w:rFonts w:cs="Arial"/>
                <w:sz w:val="24"/>
              </w:rPr>
              <w:t>c</w:t>
            </w:r>
            <w:r>
              <w:rPr>
                <w:rFonts w:cs="Arial"/>
                <w:sz w:val="24"/>
              </w:rPr>
              <w:t xml:space="preserve">ouncillors on the </w:t>
            </w:r>
            <w:r w:rsidR="00011D78">
              <w:rPr>
                <w:rFonts w:cs="Arial"/>
                <w:sz w:val="24"/>
              </w:rPr>
              <w:t>c</w:t>
            </w:r>
            <w:r>
              <w:rPr>
                <w:rFonts w:cs="Arial"/>
                <w:sz w:val="24"/>
              </w:rPr>
              <w:t xml:space="preserve">ouncil (currently </w:t>
            </w:r>
            <w:r w:rsidR="00011D78">
              <w:rPr>
                <w:rFonts w:cs="Arial"/>
                <w:sz w:val="24"/>
              </w:rPr>
              <w:t>17</w:t>
            </w:r>
            <w:r>
              <w:rPr>
                <w:rFonts w:cs="Arial"/>
                <w:sz w:val="24"/>
              </w:rPr>
              <w:t>)</w:t>
            </w:r>
          </w:p>
        </w:tc>
      </w:tr>
      <w:tr w:rsidR="00011D78" w14:paraId="133FFBCC" w14:textId="77777777" w:rsidTr="0054320F">
        <w:tc>
          <w:tcPr>
            <w:tcW w:w="4956" w:type="dxa"/>
          </w:tcPr>
          <w:p w14:paraId="414915AC" w14:textId="01D83BA9" w:rsidR="00011D78" w:rsidRDefault="00011D78" w:rsidP="0075060E">
            <w:pPr>
              <w:spacing w:line="276" w:lineRule="auto"/>
              <w:jc w:val="both"/>
              <w:rPr>
                <w:rFonts w:cs="Arial"/>
                <w:sz w:val="24"/>
              </w:rPr>
            </w:pPr>
            <w:r>
              <w:rPr>
                <w:rFonts w:cs="Arial"/>
                <w:sz w:val="24"/>
              </w:rPr>
              <w:t>Hunts Grove Parish Council</w:t>
            </w:r>
          </w:p>
        </w:tc>
        <w:tc>
          <w:tcPr>
            <w:tcW w:w="4957" w:type="dxa"/>
          </w:tcPr>
          <w:p w14:paraId="2BD1308B" w14:textId="5479AECA" w:rsidR="00011D78" w:rsidRDefault="00011D78" w:rsidP="0075060E">
            <w:pPr>
              <w:spacing w:line="276" w:lineRule="auto"/>
              <w:jc w:val="both"/>
              <w:rPr>
                <w:rFonts w:cs="Arial"/>
                <w:sz w:val="24"/>
              </w:rPr>
            </w:pPr>
            <w:r>
              <w:rPr>
                <w:rFonts w:cs="Arial"/>
                <w:sz w:val="24"/>
              </w:rPr>
              <w:t>To increase the number of councillors on the council (currently 5)</w:t>
            </w:r>
          </w:p>
        </w:tc>
      </w:tr>
      <w:tr w:rsidR="00331C1B" w:rsidRPr="00331C1B" w14:paraId="04CBCC70" w14:textId="77777777" w:rsidTr="0054320F">
        <w:tc>
          <w:tcPr>
            <w:tcW w:w="4956" w:type="dxa"/>
          </w:tcPr>
          <w:p w14:paraId="176B7BA4" w14:textId="41334EE6" w:rsidR="0054320F" w:rsidRPr="00331C1B" w:rsidRDefault="0054320F" w:rsidP="0075060E">
            <w:pPr>
              <w:spacing w:line="276" w:lineRule="auto"/>
              <w:jc w:val="both"/>
              <w:rPr>
                <w:rFonts w:cs="Arial"/>
                <w:sz w:val="24"/>
              </w:rPr>
            </w:pPr>
            <w:r w:rsidRPr="00331C1B">
              <w:rPr>
                <w:rFonts w:cs="Arial"/>
                <w:sz w:val="24"/>
              </w:rPr>
              <w:t>Frampton</w:t>
            </w:r>
            <w:r w:rsidR="005106F7" w:rsidRPr="00331C1B">
              <w:rPr>
                <w:rFonts w:cs="Arial"/>
                <w:sz w:val="24"/>
              </w:rPr>
              <w:t>-</w:t>
            </w:r>
            <w:r w:rsidRPr="00331C1B">
              <w:rPr>
                <w:rFonts w:cs="Arial"/>
                <w:sz w:val="24"/>
              </w:rPr>
              <w:t>on</w:t>
            </w:r>
            <w:r w:rsidR="005106F7" w:rsidRPr="00331C1B">
              <w:rPr>
                <w:rFonts w:cs="Arial"/>
                <w:sz w:val="24"/>
              </w:rPr>
              <w:t>-</w:t>
            </w:r>
            <w:r w:rsidRPr="00331C1B">
              <w:rPr>
                <w:rFonts w:cs="Arial"/>
                <w:sz w:val="24"/>
              </w:rPr>
              <w:t xml:space="preserve">Severn Parish Council </w:t>
            </w:r>
          </w:p>
        </w:tc>
        <w:tc>
          <w:tcPr>
            <w:tcW w:w="4957" w:type="dxa"/>
          </w:tcPr>
          <w:p w14:paraId="11730677" w14:textId="0EE10740" w:rsidR="0054320F" w:rsidRPr="00331C1B" w:rsidRDefault="005106F7" w:rsidP="0075060E">
            <w:pPr>
              <w:spacing w:line="276" w:lineRule="auto"/>
              <w:jc w:val="both"/>
              <w:rPr>
                <w:rFonts w:cs="Arial"/>
                <w:sz w:val="24"/>
              </w:rPr>
            </w:pPr>
            <w:r w:rsidRPr="00331C1B">
              <w:rPr>
                <w:rFonts w:cs="Arial"/>
                <w:sz w:val="24"/>
              </w:rPr>
              <w:t xml:space="preserve">To increase the number of Councillors on the </w:t>
            </w:r>
            <w:r w:rsidR="00011D78" w:rsidRPr="00331C1B">
              <w:rPr>
                <w:rFonts w:cs="Arial"/>
                <w:sz w:val="24"/>
              </w:rPr>
              <w:t>c</w:t>
            </w:r>
            <w:r w:rsidRPr="00331C1B">
              <w:rPr>
                <w:rFonts w:cs="Arial"/>
                <w:sz w:val="24"/>
              </w:rPr>
              <w:t xml:space="preserve">ouncil (currently </w:t>
            </w:r>
            <w:r w:rsidR="00011D78" w:rsidRPr="00331C1B">
              <w:rPr>
                <w:rFonts w:cs="Arial"/>
                <w:sz w:val="24"/>
              </w:rPr>
              <w:t>11</w:t>
            </w:r>
            <w:r w:rsidRPr="00331C1B">
              <w:rPr>
                <w:rFonts w:cs="Arial"/>
                <w:sz w:val="24"/>
              </w:rPr>
              <w:t>)</w:t>
            </w:r>
          </w:p>
        </w:tc>
      </w:tr>
      <w:tr w:rsidR="0054320F" w:rsidRPr="00331C1B" w14:paraId="64870FF0" w14:textId="77777777" w:rsidTr="0054320F">
        <w:tc>
          <w:tcPr>
            <w:tcW w:w="4956" w:type="dxa"/>
          </w:tcPr>
          <w:p w14:paraId="196EA9ED" w14:textId="05377B13" w:rsidR="0054320F" w:rsidRPr="00331C1B" w:rsidRDefault="005106F7" w:rsidP="0075060E">
            <w:pPr>
              <w:spacing w:line="276" w:lineRule="auto"/>
              <w:jc w:val="both"/>
              <w:rPr>
                <w:rFonts w:cs="Arial"/>
                <w:sz w:val="24"/>
              </w:rPr>
            </w:pPr>
            <w:r w:rsidRPr="00331C1B">
              <w:rPr>
                <w:rFonts w:cs="Arial"/>
                <w:sz w:val="24"/>
              </w:rPr>
              <w:t>Nailsworth Town Council</w:t>
            </w:r>
          </w:p>
        </w:tc>
        <w:tc>
          <w:tcPr>
            <w:tcW w:w="4957" w:type="dxa"/>
          </w:tcPr>
          <w:p w14:paraId="45799648" w14:textId="597CC8EF" w:rsidR="0054320F" w:rsidRPr="00331C1B" w:rsidRDefault="005106F7" w:rsidP="0075060E">
            <w:pPr>
              <w:spacing w:line="276" w:lineRule="auto"/>
              <w:jc w:val="both"/>
              <w:rPr>
                <w:rFonts w:cs="Arial"/>
                <w:sz w:val="24"/>
              </w:rPr>
            </w:pPr>
            <w:r w:rsidRPr="00331C1B">
              <w:rPr>
                <w:rFonts w:cs="Arial"/>
                <w:sz w:val="24"/>
              </w:rPr>
              <w:t>To review the</w:t>
            </w:r>
            <w:r w:rsidR="00331C1B">
              <w:rPr>
                <w:rFonts w:cs="Arial"/>
                <w:sz w:val="24"/>
              </w:rPr>
              <w:t>ir northern and southern</w:t>
            </w:r>
            <w:r w:rsidRPr="00331C1B">
              <w:rPr>
                <w:rFonts w:cs="Arial"/>
                <w:sz w:val="24"/>
              </w:rPr>
              <w:t xml:space="preserve"> electoral boundar</w:t>
            </w:r>
            <w:r w:rsidR="00331C1B">
              <w:rPr>
                <w:rFonts w:cs="Arial"/>
                <w:sz w:val="24"/>
              </w:rPr>
              <w:t>ies</w:t>
            </w:r>
            <w:r w:rsidR="00011D78" w:rsidRPr="00331C1B">
              <w:rPr>
                <w:rFonts w:cs="Arial"/>
                <w:sz w:val="24"/>
              </w:rPr>
              <w:t xml:space="preserve"> between </w:t>
            </w:r>
            <w:proofErr w:type="gramStart"/>
            <w:r w:rsidR="00011D78" w:rsidRPr="00331C1B">
              <w:rPr>
                <w:rFonts w:cs="Arial"/>
                <w:sz w:val="24"/>
              </w:rPr>
              <w:t>Nailsworth</w:t>
            </w:r>
            <w:r w:rsidR="00331C1B">
              <w:rPr>
                <w:rFonts w:cs="Arial"/>
                <w:sz w:val="24"/>
              </w:rPr>
              <w:t xml:space="preserve">, </w:t>
            </w:r>
            <w:r w:rsidR="00011D78" w:rsidRPr="00331C1B">
              <w:rPr>
                <w:rFonts w:cs="Arial"/>
                <w:sz w:val="24"/>
              </w:rPr>
              <w:t xml:space="preserve"> Horsley</w:t>
            </w:r>
            <w:proofErr w:type="gramEnd"/>
            <w:r w:rsidR="00011D78" w:rsidRPr="00331C1B">
              <w:rPr>
                <w:rFonts w:cs="Arial"/>
                <w:sz w:val="24"/>
              </w:rPr>
              <w:t>, Minchinhampton and Woodchester</w:t>
            </w:r>
          </w:p>
        </w:tc>
      </w:tr>
    </w:tbl>
    <w:p w14:paraId="274CD765" w14:textId="77777777" w:rsidR="0054320F" w:rsidRPr="00331C1B" w:rsidRDefault="0054320F" w:rsidP="0075060E">
      <w:pPr>
        <w:spacing w:line="276" w:lineRule="auto"/>
        <w:ind w:left="567" w:hanging="567"/>
        <w:jc w:val="both"/>
        <w:rPr>
          <w:rFonts w:cs="Arial"/>
          <w:sz w:val="24"/>
        </w:rPr>
      </w:pPr>
    </w:p>
    <w:p w14:paraId="771AEFEB" w14:textId="77777777" w:rsidR="002C7913" w:rsidRPr="00331C1B" w:rsidRDefault="002C7913" w:rsidP="0075060E">
      <w:pPr>
        <w:spacing w:line="276" w:lineRule="auto"/>
        <w:ind w:left="567" w:hanging="567"/>
        <w:jc w:val="both"/>
        <w:rPr>
          <w:rFonts w:cs="Arial"/>
          <w:sz w:val="16"/>
          <w:szCs w:val="16"/>
        </w:rPr>
      </w:pPr>
    </w:p>
    <w:p w14:paraId="756597A6" w14:textId="162C7444" w:rsidR="003E1382" w:rsidRPr="00331C1B" w:rsidRDefault="002C7913" w:rsidP="0075060E">
      <w:pPr>
        <w:spacing w:line="276" w:lineRule="auto"/>
        <w:ind w:left="567" w:hanging="567"/>
        <w:jc w:val="both"/>
        <w:rPr>
          <w:sz w:val="24"/>
        </w:rPr>
      </w:pPr>
      <w:r w:rsidRPr="00331C1B">
        <w:rPr>
          <w:sz w:val="24"/>
        </w:rPr>
        <w:t>2.</w:t>
      </w:r>
      <w:r w:rsidR="00011D78" w:rsidRPr="00331C1B">
        <w:rPr>
          <w:sz w:val="24"/>
        </w:rPr>
        <w:t>4</w:t>
      </w:r>
      <w:r w:rsidRPr="00331C1B">
        <w:rPr>
          <w:sz w:val="24"/>
        </w:rPr>
        <w:tab/>
      </w:r>
      <w:r w:rsidR="003E1382" w:rsidRPr="00331C1B">
        <w:rPr>
          <w:sz w:val="24"/>
        </w:rPr>
        <w:t xml:space="preserve">Within their request for a CGR to take place, </w:t>
      </w:r>
      <w:r w:rsidR="002E7FD4" w:rsidRPr="00331C1B">
        <w:rPr>
          <w:sz w:val="24"/>
        </w:rPr>
        <w:t xml:space="preserve">Nailsworth Town Council </w:t>
      </w:r>
      <w:r w:rsidR="005106F7" w:rsidRPr="00331C1B">
        <w:rPr>
          <w:sz w:val="24"/>
        </w:rPr>
        <w:t xml:space="preserve">submitted a map outlining </w:t>
      </w:r>
      <w:r w:rsidR="00F56D5B" w:rsidRPr="00331C1B">
        <w:rPr>
          <w:sz w:val="24"/>
        </w:rPr>
        <w:t xml:space="preserve">the </w:t>
      </w:r>
      <w:r w:rsidR="005106F7" w:rsidRPr="00331C1B">
        <w:rPr>
          <w:sz w:val="24"/>
        </w:rPr>
        <w:t xml:space="preserve">proposed boundary changes </w:t>
      </w:r>
      <w:r w:rsidR="003E1382" w:rsidRPr="00331C1B">
        <w:rPr>
          <w:sz w:val="24"/>
        </w:rPr>
        <w:t xml:space="preserve">for their </w:t>
      </w:r>
      <w:r w:rsidR="00F56D5B" w:rsidRPr="00331C1B">
        <w:rPr>
          <w:sz w:val="24"/>
        </w:rPr>
        <w:t>council a</w:t>
      </w:r>
      <w:r w:rsidR="003E1382" w:rsidRPr="00331C1B">
        <w:rPr>
          <w:sz w:val="24"/>
        </w:rPr>
        <w:t xml:space="preserve">rea. Several changes are proposed which impact on neighbouring parish boundaries including Horsley, Minchinhampton and Woodchester. </w:t>
      </w:r>
      <w:r w:rsidR="00F56D5B" w:rsidRPr="00331C1B">
        <w:rPr>
          <w:sz w:val="24"/>
        </w:rPr>
        <w:t xml:space="preserve">As a result of this, Horsley, Minchinhampton and </w:t>
      </w:r>
      <w:proofErr w:type="spellStart"/>
      <w:r w:rsidR="00F56D5B" w:rsidRPr="00331C1B">
        <w:rPr>
          <w:sz w:val="24"/>
        </w:rPr>
        <w:t>Woodchester</w:t>
      </w:r>
      <w:proofErr w:type="spellEnd"/>
      <w:r w:rsidR="00F56D5B" w:rsidRPr="00331C1B">
        <w:rPr>
          <w:sz w:val="24"/>
        </w:rPr>
        <w:t xml:space="preserve"> </w:t>
      </w:r>
      <w:r w:rsidR="009A0F68">
        <w:rPr>
          <w:sz w:val="24"/>
        </w:rPr>
        <w:t>P</w:t>
      </w:r>
      <w:r w:rsidR="00F56D5B" w:rsidRPr="00331C1B">
        <w:rPr>
          <w:sz w:val="24"/>
        </w:rPr>
        <w:t>arish areas must be included in this CGR to allow for consultation to take place with the parish councils and residents.</w:t>
      </w:r>
      <w:r w:rsidR="005106F7" w:rsidRPr="00331C1B">
        <w:rPr>
          <w:sz w:val="24"/>
        </w:rPr>
        <w:t xml:space="preserve"> </w:t>
      </w:r>
    </w:p>
    <w:p w14:paraId="037B39C5" w14:textId="77777777" w:rsidR="00011D78" w:rsidRDefault="00011D78" w:rsidP="0075060E">
      <w:pPr>
        <w:spacing w:line="276" w:lineRule="auto"/>
        <w:ind w:left="567" w:hanging="567"/>
        <w:jc w:val="both"/>
        <w:rPr>
          <w:sz w:val="24"/>
        </w:rPr>
      </w:pPr>
    </w:p>
    <w:p w14:paraId="5F731117" w14:textId="6A3EB8AB" w:rsidR="002C7913" w:rsidRPr="00331C1B" w:rsidRDefault="003E1382" w:rsidP="0075060E">
      <w:pPr>
        <w:spacing w:line="276" w:lineRule="auto"/>
        <w:ind w:left="567" w:hanging="567"/>
        <w:jc w:val="both"/>
        <w:rPr>
          <w:sz w:val="24"/>
        </w:rPr>
      </w:pPr>
      <w:r>
        <w:rPr>
          <w:sz w:val="24"/>
        </w:rPr>
        <w:t>2.</w:t>
      </w:r>
      <w:r w:rsidR="00011D78">
        <w:rPr>
          <w:sz w:val="24"/>
        </w:rPr>
        <w:t>5</w:t>
      </w:r>
      <w:r>
        <w:rPr>
          <w:sz w:val="24"/>
        </w:rPr>
        <w:tab/>
      </w:r>
      <w:r w:rsidR="008B6A2F">
        <w:rPr>
          <w:rFonts w:cs="Arial"/>
          <w:sz w:val="24"/>
        </w:rPr>
        <w:t xml:space="preserve">It is </w:t>
      </w:r>
      <w:r w:rsidR="005777D7" w:rsidRPr="00331C1B">
        <w:rPr>
          <w:rFonts w:cs="Arial"/>
          <w:sz w:val="24"/>
        </w:rPr>
        <w:t xml:space="preserve">therefore </w:t>
      </w:r>
      <w:r w:rsidR="008B6A2F" w:rsidRPr="00331C1B">
        <w:rPr>
          <w:rFonts w:cs="Arial"/>
          <w:sz w:val="24"/>
        </w:rPr>
        <w:t xml:space="preserve">recommended that a CGR is conducted for </w:t>
      </w:r>
      <w:r w:rsidR="002E7FD4" w:rsidRPr="00331C1B">
        <w:rPr>
          <w:rFonts w:cs="Arial"/>
          <w:sz w:val="24"/>
        </w:rPr>
        <w:t>Cam, Dursley, Eastington, Frampton, Horsley, Hunts Grove, Minchinhampton, Nailsworth, Standish, Stonehouse and Woodchester</w:t>
      </w:r>
      <w:r w:rsidR="008B6A2F" w:rsidRPr="00331C1B">
        <w:rPr>
          <w:rFonts w:cs="Arial"/>
          <w:sz w:val="24"/>
        </w:rPr>
        <w:t xml:space="preserve"> ahead of the next scheduled local elections.</w:t>
      </w:r>
    </w:p>
    <w:p w14:paraId="5C638FF9" w14:textId="77777777" w:rsidR="007D095E" w:rsidRPr="002B1BAD" w:rsidRDefault="007D095E" w:rsidP="0075060E">
      <w:pPr>
        <w:spacing w:line="276" w:lineRule="auto"/>
        <w:jc w:val="both"/>
        <w:rPr>
          <w:sz w:val="16"/>
          <w:szCs w:val="16"/>
        </w:rPr>
      </w:pPr>
    </w:p>
    <w:p w14:paraId="72971D85" w14:textId="77777777" w:rsidR="00CC3581" w:rsidRDefault="005D2901" w:rsidP="0075060E">
      <w:pPr>
        <w:spacing w:line="276" w:lineRule="auto"/>
        <w:ind w:left="567" w:hanging="567"/>
        <w:jc w:val="both"/>
        <w:rPr>
          <w:b/>
          <w:sz w:val="24"/>
        </w:rPr>
      </w:pPr>
      <w:r>
        <w:rPr>
          <w:b/>
          <w:sz w:val="24"/>
        </w:rPr>
        <w:t>3</w:t>
      </w:r>
      <w:r w:rsidR="00805572">
        <w:rPr>
          <w:b/>
          <w:sz w:val="24"/>
        </w:rPr>
        <w:t>.</w:t>
      </w:r>
      <w:r w:rsidR="00805572">
        <w:rPr>
          <w:b/>
          <w:sz w:val="24"/>
        </w:rPr>
        <w:tab/>
      </w:r>
      <w:r w:rsidR="009312F7">
        <w:rPr>
          <w:b/>
          <w:sz w:val="24"/>
        </w:rPr>
        <w:t>PROCESS OF A CO</w:t>
      </w:r>
      <w:r w:rsidR="00CC3581">
        <w:rPr>
          <w:b/>
          <w:sz w:val="24"/>
        </w:rPr>
        <w:t>M</w:t>
      </w:r>
      <w:r w:rsidR="009312F7">
        <w:rPr>
          <w:b/>
          <w:sz w:val="24"/>
        </w:rPr>
        <w:t>MUNI</w:t>
      </w:r>
      <w:r w:rsidR="00CC3581">
        <w:rPr>
          <w:b/>
          <w:sz w:val="24"/>
        </w:rPr>
        <w:t>TY GOVERNANCE REVIEW</w:t>
      </w:r>
    </w:p>
    <w:p w14:paraId="2A545DE5" w14:textId="77777777" w:rsidR="00385BCC" w:rsidRPr="002C7913" w:rsidRDefault="00385BCC" w:rsidP="0075060E">
      <w:pPr>
        <w:spacing w:line="276" w:lineRule="auto"/>
        <w:jc w:val="both"/>
        <w:rPr>
          <w:b/>
          <w:sz w:val="16"/>
          <w:szCs w:val="16"/>
        </w:rPr>
      </w:pPr>
    </w:p>
    <w:p w14:paraId="23761708" w14:textId="5455DC12" w:rsidR="006D7929" w:rsidRPr="005B5972" w:rsidRDefault="00D1466F" w:rsidP="005B5972">
      <w:pPr>
        <w:pStyle w:val="ListParagraph"/>
        <w:numPr>
          <w:ilvl w:val="1"/>
          <w:numId w:val="12"/>
        </w:numPr>
        <w:spacing w:line="276" w:lineRule="auto"/>
        <w:ind w:left="567"/>
        <w:jc w:val="both"/>
        <w:rPr>
          <w:sz w:val="24"/>
        </w:rPr>
      </w:pPr>
      <w:r w:rsidRPr="005B5972">
        <w:rPr>
          <w:sz w:val="24"/>
        </w:rPr>
        <w:t xml:space="preserve">The </w:t>
      </w:r>
      <w:r w:rsidR="00C9481B" w:rsidRPr="005B5972">
        <w:rPr>
          <w:sz w:val="24"/>
        </w:rPr>
        <w:t xml:space="preserve">Local Government and Public Involvement in Health Act 2007 </w:t>
      </w:r>
      <w:r w:rsidR="00E47955" w:rsidRPr="005B5972">
        <w:rPr>
          <w:sz w:val="24"/>
        </w:rPr>
        <w:t xml:space="preserve">requires the </w:t>
      </w:r>
      <w:r w:rsidR="00534F65" w:rsidRPr="005B5972">
        <w:rPr>
          <w:sz w:val="24"/>
        </w:rPr>
        <w:t>c</w:t>
      </w:r>
      <w:r w:rsidRPr="005B5972">
        <w:rPr>
          <w:sz w:val="24"/>
        </w:rPr>
        <w:t xml:space="preserve">ouncil </w:t>
      </w:r>
      <w:r w:rsidR="00E47955" w:rsidRPr="005B5972">
        <w:rPr>
          <w:sz w:val="24"/>
        </w:rPr>
        <w:t>to</w:t>
      </w:r>
      <w:r w:rsidRPr="005B5972">
        <w:rPr>
          <w:sz w:val="24"/>
        </w:rPr>
        <w:t xml:space="preserve"> ensure that </w:t>
      </w:r>
      <w:r w:rsidR="006D7929" w:rsidRPr="005B5972">
        <w:rPr>
          <w:sz w:val="24"/>
        </w:rPr>
        <w:t>community governance within the area under review</w:t>
      </w:r>
      <w:r w:rsidRPr="005B5972">
        <w:rPr>
          <w:sz w:val="24"/>
        </w:rPr>
        <w:t xml:space="preserve"> will be</w:t>
      </w:r>
      <w:r w:rsidR="006D7929" w:rsidRPr="005B5972">
        <w:rPr>
          <w:sz w:val="24"/>
        </w:rPr>
        <w:t>:</w:t>
      </w:r>
    </w:p>
    <w:p w14:paraId="4C3E228D" w14:textId="446B5690" w:rsidR="006D7929" w:rsidRDefault="00947C97" w:rsidP="0075060E">
      <w:pPr>
        <w:pStyle w:val="ListParagraph"/>
        <w:numPr>
          <w:ilvl w:val="0"/>
          <w:numId w:val="14"/>
        </w:numPr>
        <w:spacing w:line="276" w:lineRule="auto"/>
        <w:ind w:left="993"/>
        <w:jc w:val="both"/>
        <w:rPr>
          <w:sz w:val="24"/>
        </w:rPr>
      </w:pPr>
      <w:r>
        <w:rPr>
          <w:sz w:val="24"/>
        </w:rPr>
        <w:t>r</w:t>
      </w:r>
      <w:r w:rsidR="006D7929">
        <w:rPr>
          <w:sz w:val="24"/>
        </w:rPr>
        <w:t>eflect</w:t>
      </w:r>
      <w:r w:rsidR="00D1466F">
        <w:rPr>
          <w:sz w:val="24"/>
        </w:rPr>
        <w:t>ive of</w:t>
      </w:r>
      <w:r w:rsidR="006D7929">
        <w:rPr>
          <w:sz w:val="24"/>
        </w:rPr>
        <w:t xml:space="preserve"> the identities and interests of the community in that area, and</w:t>
      </w:r>
    </w:p>
    <w:p w14:paraId="605188E3" w14:textId="254DFA18" w:rsidR="006D7929" w:rsidRPr="006D7929" w:rsidRDefault="006D7929" w:rsidP="0075060E">
      <w:pPr>
        <w:pStyle w:val="ListParagraph"/>
        <w:numPr>
          <w:ilvl w:val="0"/>
          <w:numId w:val="14"/>
        </w:numPr>
        <w:spacing w:line="276" w:lineRule="auto"/>
        <w:ind w:left="993"/>
        <w:jc w:val="both"/>
        <w:rPr>
          <w:sz w:val="24"/>
        </w:rPr>
      </w:pPr>
      <w:r>
        <w:rPr>
          <w:sz w:val="24"/>
        </w:rPr>
        <w:t>effective and convenient.</w:t>
      </w:r>
    </w:p>
    <w:p w14:paraId="2EDC9FD4" w14:textId="3CA35815" w:rsidR="006D7929" w:rsidRDefault="006D7929" w:rsidP="0075060E">
      <w:pPr>
        <w:spacing w:line="276" w:lineRule="auto"/>
        <w:ind w:left="567" w:hanging="567"/>
        <w:jc w:val="both"/>
        <w:rPr>
          <w:sz w:val="24"/>
        </w:rPr>
      </w:pPr>
    </w:p>
    <w:p w14:paraId="6176E509" w14:textId="1CE47553" w:rsidR="00534F65" w:rsidRPr="00BF222A" w:rsidRDefault="00534F65" w:rsidP="005B5972">
      <w:pPr>
        <w:pStyle w:val="ListParagraph"/>
        <w:numPr>
          <w:ilvl w:val="1"/>
          <w:numId w:val="12"/>
        </w:numPr>
        <w:spacing w:line="276" w:lineRule="auto"/>
        <w:ind w:left="567"/>
        <w:jc w:val="both"/>
        <w:rPr>
          <w:sz w:val="24"/>
        </w:rPr>
      </w:pPr>
      <w:r w:rsidRPr="00BF222A">
        <w:rPr>
          <w:sz w:val="24"/>
        </w:rPr>
        <w:t xml:space="preserve">When considering </w:t>
      </w:r>
      <w:proofErr w:type="gramStart"/>
      <w:r w:rsidRPr="00BF222A">
        <w:rPr>
          <w:sz w:val="24"/>
        </w:rPr>
        <w:t>this criteria</w:t>
      </w:r>
      <w:proofErr w:type="gramEnd"/>
      <w:r w:rsidRPr="00BF222A">
        <w:rPr>
          <w:sz w:val="24"/>
        </w:rPr>
        <w:t xml:space="preserve">, the </w:t>
      </w:r>
      <w:r w:rsidR="00B052C2">
        <w:rPr>
          <w:sz w:val="24"/>
        </w:rPr>
        <w:t>C</w:t>
      </w:r>
      <w:r w:rsidRPr="00BF222A">
        <w:rPr>
          <w:sz w:val="24"/>
        </w:rPr>
        <w:t>ouncil should take into account a number of influential factors, including:</w:t>
      </w:r>
    </w:p>
    <w:p w14:paraId="2BBA2102" w14:textId="54CCF2E6" w:rsidR="00534F65" w:rsidRDefault="00534F65" w:rsidP="00534F65">
      <w:pPr>
        <w:pStyle w:val="ListParagraph"/>
        <w:numPr>
          <w:ilvl w:val="2"/>
          <w:numId w:val="12"/>
        </w:numPr>
        <w:spacing w:line="276" w:lineRule="auto"/>
        <w:jc w:val="both"/>
        <w:rPr>
          <w:sz w:val="24"/>
        </w:rPr>
      </w:pPr>
      <w:r>
        <w:rPr>
          <w:sz w:val="24"/>
        </w:rPr>
        <w:t>The impact of community governance arrangements on community cohesion; and</w:t>
      </w:r>
    </w:p>
    <w:p w14:paraId="558F535F" w14:textId="014E6900" w:rsidR="00534F65" w:rsidRDefault="00534F65" w:rsidP="00534F65">
      <w:pPr>
        <w:pStyle w:val="ListParagraph"/>
        <w:numPr>
          <w:ilvl w:val="2"/>
          <w:numId w:val="12"/>
        </w:numPr>
        <w:spacing w:line="276" w:lineRule="auto"/>
        <w:jc w:val="both"/>
        <w:rPr>
          <w:sz w:val="24"/>
        </w:rPr>
      </w:pPr>
      <w:r>
        <w:rPr>
          <w:sz w:val="24"/>
        </w:rPr>
        <w:t xml:space="preserve">The size, population and boundaries of a local </w:t>
      </w:r>
      <w:r w:rsidR="00B052C2">
        <w:rPr>
          <w:sz w:val="24"/>
        </w:rPr>
        <w:t>C</w:t>
      </w:r>
      <w:r>
        <w:rPr>
          <w:sz w:val="24"/>
        </w:rPr>
        <w:t xml:space="preserve">ommunity or </w:t>
      </w:r>
      <w:r w:rsidR="00B052C2">
        <w:rPr>
          <w:sz w:val="24"/>
        </w:rPr>
        <w:t>P</w:t>
      </w:r>
      <w:r>
        <w:rPr>
          <w:sz w:val="24"/>
        </w:rPr>
        <w:t xml:space="preserve">arish (the current governance arrangements for the parishes recommended for review including electorate forecasts can be found at </w:t>
      </w:r>
      <w:r w:rsidR="00947C97">
        <w:rPr>
          <w:sz w:val="24"/>
        </w:rPr>
        <w:t>Annexe A</w:t>
      </w:r>
      <w:r>
        <w:rPr>
          <w:sz w:val="24"/>
        </w:rPr>
        <w:t>).</w:t>
      </w:r>
    </w:p>
    <w:p w14:paraId="44857EEE" w14:textId="77777777" w:rsidR="00534F65" w:rsidRPr="00BF222A" w:rsidRDefault="00534F65" w:rsidP="00BF222A">
      <w:pPr>
        <w:spacing w:line="276" w:lineRule="auto"/>
        <w:ind w:left="536"/>
        <w:jc w:val="both"/>
        <w:rPr>
          <w:sz w:val="24"/>
        </w:rPr>
      </w:pPr>
    </w:p>
    <w:p w14:paraId="01A2E74C" w14:textId="7FB3F3ED" w:rsidR="00B864D4" w:rsidRPr="005B5972" w:rsidRDefault="00BB438D" w:rsidP="00011D78">
      <w:pPr>
        <w:spacing w:line="276" w:lineRule="auto"/>
        <w:ind w:left="567" w:hanging="567"/>
        <w:jc w:val="both"/>
        <w:rPr>
          <w:sz w:val="24"/>
        </w:rPr>
      </w:pPr>
      <w:r>
        <w:rPr>
          <w:sz w:val="24"/>
        </w:rPr>
        <w:t>3.</w:t>
      </w:r>
      <w:r w:rsidR="00534F65">
        <w:rPr>
          <w:sz w:val="24"/>
        </w:rPr>
        <w:t>3</w:t>
      </w:r>
      <w:r>
        <w:rPr>
          <w:sz w:val="24"/>
        </w:rPr>
        <w:tab/>
      </w:r>
      <w:r w:rsidR="00C67D63">
        <w:rPr>
          <w:sz w:val="24"/>
        </w:rPr>
        <w:t xml:space="preserve">The </w:t>
      </w:r>
      <w:r w:rsidR="00FB6756">
        <w:rPr>
          <w:sz w:val="24"/>
        </w:rPr>
        <w:t>C</w:t>
      </w:r>
      <w:r w:rsidR="00C67D63">
        <w:rPr>
          <w:sz w:val="24"/>
        </w:rPr>
        <w:t xml:space="preserve">ouncil must determine the terms of reference under which a CGR is to be undertaken (Appendix A). The terms of reference must specify the area under review and legislation requires </w:t>
      </w:r>
      <w:r w:rsidR="00C9481B">
        <w:rPr>
          <w:sz w:val="24"/>
        </w:rPr>
        <w:t xml:space="preserve">that a CGR must be completed within 12 months of </w:t>
      </w:r>
      <w:r w:rsidR="00011D78">
        <w:rPr>
          <w:sz w:val="24"/>
        </w:rPr>
        <w:t>publication of the terms of reference</w:t>
      </w:r>
      <w:r w:rsidR="00C9481B">
        <w:rPr>
          <w:sz w:val="24"/>
        </w:rPr>
        <w:t xml:space="preserve">. </w:t>
      </w:r>
    </w:p>
    <w:p w14:paraId="7EED08BF" w14:textId="11C0164A" w:rsidR="00E5046F" w:rsidRDefault="001B38EB" w:rsidP="005B5972">
      <w:pPr>
        <w:spacing w:line="276" w:lineRule="auto"/>
        <w:ind w:left="567" w:hanging="567"/>
        <w:jc w:val="both"/>
        <w:rPr>
          <w:sz w:val="24"/>
        </w:rPr>
      </w:pPr>
      <w:r>
        <w:rPr>
          <w:sz w:val="24"/>
        </w:rPr>
        <w:lastRenderedPageBreak/>
        <w:t>3.</w:t>
      </w:r>
      <w:r w:rsidR="00E47955">
        <w:rPr>
          <w:sz w:val="24"/>
        </w:rPr>
        <w:t>4</w:t>
      </w:r>
      <w:r w:rsidR="002B1BAD">
        <w:rPr>
          <w:sz w:val="24"/>
        </w:rPr>
        <w:tab/>
      </w:r>
      <w:r w:rsidR="00C9481B">
        <w:rPr>
          <w:sz w:val="24"/>
        </w:rPr>
        <w:t>Legislation specifie</w:t>
      </w:r>
      <w:r w:rsidR="00011D78">
        <w:rPr>
          <w:sz w:val="24"/>
        </w:rPr>
        <w:t>s</w:t>
      </w:r>
      <w:r w:rsidR="00C9481B">
        <w:rPr>
          <w:sz w:val="24"/>
        </w:rPr>
        <w:t xml:space="preserve"> the process to be followed including two consultation stages as set out in the timetable below: </w:t>
      </w:r>
    </w:p>
    <w:tbl>
      <w:tblPr>
        <w:tblStyle w:val="TableGrid"/>
        <w:tblW w:w="9498" w:type="dxa"/>
        <w:tblInd w:w="562" w:type="dxa"/>
        <w:tblLook w:val="04A0" w:firstRow="1" w:lastRow="0" w:firstColumn="1" w:lastColumn="0" w:noHBand="0" w:noVBand="1"/>
      </w:tblPr>
      <w:tblGrid>
        <w:gridCol w:w="1978"/>
        <w:gridCol w:w="4401"/>
        <w:gridCol w:w="3119"/>
      </w:tblGrid>
      <w:tr w:rsidR="00AB0269" w:rsidRPr="003C6C08" w14:paraId="546C3400" w14:textId="77777777" w:rsidTr="00FB6756">
        <w:tc>
          <w:tcPr>
            <w:tcW w:w="1978" w:type="dxa"/>
            <w:vAlign w:val="center"/>
          </w:tcPr>
          <w:p w14:paraId="551A5B00" w14:textId="77777777" w:rsidR="00AB0269" w:rsidRPr="003C6C08" w:rsidRDefault="00AB0269" w:rsidP="0075060E">
            <w:pPr>
              <w:spacing w:after="200" w:line="276" w:lineRule="auto"/>
              <w:jc w:val="center"/>
              <w:rPr>
                <w:b/>
                <w:sz w:val="24"/>
              </w:rPr>
            </w:pPr>
            <w:r>
              <w:rPr>
                <w:sz w:val="24"/>
              </w:rPr>
              <w:br/>
            </w:r>
            <w:r w:rsidRPr="003C6C08">
              <w:rPr>
                <w:b/>
                <w:sz w:val="24"/>
              </w:rPr>
              <w:t>Stage</w:t>
            </w:r>
          </w:p>
        </w:tc>
        <w:tc>
          <w:tcPr>
            <w:tcW w:w="4401" w:type="dxa"/>
            <w:vAlign w:val="center"/>
          </w:tcPr>
          <w:p w14:paraId="6F220216" w14:textId="77777777" w:rsidR="00AB0269" w:rsidRPr="003C6C08" w:rsidRDefault="00AB0269" w:rsidP="0075060E">
            <w:pPr>
              <w:spacing w:after="200" w:line="276" w:lineRule="auto"/>
              <w:jc w:val="center"/>
              <w:rPr>
                <w:b/>
                <w:sz w:val="24"/>
              </w:rPr>
            </w:pPr>
            <w:r w:rsidRPr="003C6C08">
              <w:rPr>
                <w:b/>
                <w:sz w:val="24"/>
              </w:rPr>
              <w:t>Action</w:t>
            </w:r>
          </w:p>
        </w:tc>
        <w:tc>
          <w:tcPr>
            <w:tcW w:w="3119" w:type="dxa"/>
            <w:vAlign w:val="center"/>
          </w:tcPr>
          <w:p w14:paraId="06B70633" w14:textId="77777777" w:rsidR="00AB0269" w:rsidRPr="003C6C08" w:rsidRDefault="00AB0269" w:rsidP="0075060E">
            <w:pPr>
              <w:spacing w:after="200" w:line="276" w:lineRule="auto"/>
              <w:jc w:val="center"/>
              <w:rPr>
                <w:b/>
                <w:sz w:val="24"/>
              </w:rPr>
            </w:pPr>
            <w:r w:rsidRPr="003C6C08">
              <w:rPr>
                <w:b/>
                <w:sz w:val="24"/>
              </w:rPr>
              <w:t>Timescale</w:t>
            </w:r>
          </w:p>
        </w:tc>
      </w:tr>
      <w:tr w:rsidR="00AB0269" w14:paraId="77F1DDCF" w14:textId="77777777" w:rsidTr="00FB6756">
        <w:trPr>
          <w:trHeight w:val="20"/>
        </w:trPr>
        <w:tc>
          <w:tcPr>
            <w:tcW w:w="1978" w:type="dxa"/>
            <w:vAlign w:val="center"/>
          </w:tcPr>
          <w:p w14:paraId="5613D477" w14:textId="77777777" w:rsidR="00AB0269" w:rsidRDefault="00AB0269" w:rsidP="0075060E">
            <w:pPr>
              <w:spacing w:after="200" w:line="276" w:lineRule="auto"/>
              <w:rPr>
                <w:sz w:val="24"/>
              </w:rPr>
            </w:pPr>
            <w:r>
              <w:rPr>
                <w:sz w:val="24"/>
              </w:rPr>
              <w:t>Commencement</w:t>
            </w:r>
          </w:p>
        </w:tc>
        <w:tc>
          <w:tcPr>
            <w:tcW w:w="4401" w:type="dxa"/>
            <w:vAlign w:val="center"/>
          </w:tcPr>
          <w:p w14:paraId="51CACBB8" w14:textId="7FEA5756" w:rsidR="00AB0269" w:rsidRDefault="00AB0269" w:rsidP="0075060E">
            <w:pPr>
              <w:spacing w:after="200" w:line="276" w:lineRule="auto"/>
              <w:rPr>
                <w:sz w:val="24"/>
              </w:rPr>
            </w:pPr>
            <w:r>
              <w:rPr>
                <w:sz w:val="24"/>
              </w:rPr>
              <w:t>Publish terms of reference and timetable.</w:t>
            </w:r>
          </w:p>
        </w:tc>
        <w:tc>
          <w:tcPr>
            <w:tcW w:w="3119" w:type="dxa"/>
            <w:vAlign w:val="center"/>
          </w:tcPr>
          <w:p w14:paraId="6BF640A9" w14:textId="05F019BF" w:rsidR="00AB0269" w:rsidRDefault="00AB0269" w:rsidP="0075060E">
            <w:pPr>
              <w:spacing w:after="200" w:line="276" w:lineRule="auto"/>
              <w:rPr>
                <w:sz w:val="24"/>
              </w:rPr>
            </w:pPr>
            <w:r>
              <w:rPr>
                <w:sz w:val="24"/>
              </w:rPr>
              <w:t>21 October 2022</w:t>
            </w:r>
          </w:p>
        </w:tc>
      </w:tr>
      <w:tr w:rsidR="00AB0269" w14:paraId="3BA70C86" w14:textId="77777777" w:rsidTr="00FB6756">
        <w:tc>
          <w:tcPr>
            <w:tcW w:w="1978" w:type="dxa"/>
            <w:vAlign w:val="center"/>
          </w:tcPr>
          <w:p w14:paraId="14D74689" w14:textId="77777777" w:rsidR="00AB0269" w:rsidRDefault="00AB0269" w:rsidP="0075060E">
            <w:pPr>
              <w:spacing w:after="200" w:line="276" w:lineRule="auto"/>
              <w:rPr>
                <w:sz w:val="24"/>
              </w:rPr>
            </w:pPr>
            <w:r>
              <w:rPr>
                <w:sz w:val="24"/>
              </w:rPr>
              <w:t>Preliminary stage</w:t>
            </w:r>
          </w:p>
        </w:tc>
        <w:tc>
          <w:tcPr>
            <w:tcW w:w="4401" w:type="dxa"/>
            <w:vAlign w:val="center"/>
          </w:tcPr>
          <w:p w14:paraId="21B9C4D2" w14:textId="35079BA2" w:rsidR="00AB0269" w:rsidRDefault="00AB0269" w:rsidP="0075060E">
            <w:pPr>
              <w:spacing w:after="200" w:line="276" w:lineRule="auto"/>
              <w:rPr>
                <w:sz w:val="24"/>
              </w:rPr>
            </w:pPr>
            <w:r>
              <w:rPr>
                <w:sz w:val="24"/>
              </w:rPr>
              <w:t>Research - Consider consultation arrangements and electoral forecasts.</w:t>
            </w:r>
          </w:p>
        </w:tc>
        <w:tc>
          <w:tcPr>
            <w:tcW w:w="3119" w:type="dxa"/>
            <w:vAlign w:val="center"/>
          </w:tcPr>
          <w:p w14:paraId="6EC077F7" w14:textId="76DB7360" w:rsidR="00AB0269" w:rsidRDefault="00AB0269" w:rsidP="0075060E">
            <w:pPr>
              <w:spacing w:after="200" w:line="276" w:lineRule="auto"/>
              <w:rPr>
                <w:sz w:val="24"/>
              </w:rPr>
            </w:pPr>
            <w:r>
              <w:rPr>
                <w:sz w:val="24"/>
              </w:rPr>
              <w:t>21 October - 30 October 2022</w:t>
            </w:r>
          </w:p>
        </w:tc>
      </w:tr>
      <w:tr w:rsidR="00AB0269" w14:paraId="1078B54C" w14:textId="77777777" w:rsidTr="00FB6756">
        <w:tc>
          <w:tcPr>
            <w:tcW w:w="1978" w:type="dxa"/>
            <w:vAlign w:val="center"/>
          </w:tcPr>
          <w:p w14:paraId="12984BCC" w14:textId="77777777" w:rsidR="00AB0269" w:rsidRDefault="00AB0269" w:rsidP="0075060E">
            <w:pPr>
              <w:spacing w:after="200" w:line="276" w:lineRule="auto"/>
              <w:rPr>
                <w:sz w:val="24"/>
              </w:rPr>
            </w:pPr>
            <w:r w:rsidRPr="005D2901">
              <w:rPr>
                <w:b/>
                <w:sz w:val="24"/>
              </w:rPr>
              <w:t xml:space="preserve">Consultation </w:t>
            </w:r>
            <w:r>
              <w:rPr>
                <w:sz w:val="24"/>
              </w:rPr>
              <w:t xml:space="preserve">Stage 1 </w:t>
            </w:r>
          </w:p>
        </w:tc>
        <w:tc>
          <w:tcPr>
            <w:tcW w:w="4401" w:type="dxa"/>
            <w:vAlign w:val="center"/>
          </w:tcPr>
          <w:p w14:paraId="77A07FC9" w14:textId="4F4F6CA3" w:rsidR="00AB0269" w:rsidRDefault="00AB0269" w:rsidP="0075060E">
            <w:pPr>
              <w:spacing w:after="200" w:line="276" w:lineRule="auto"/>
              <w:rPr>
                <w:sz w:val="24"/>
              </w:rPr>
            </w:pPr>
            <w:r>
              <w:rPr>
                <w:sz w:val="24"/>
              </w:rPr>
              <w:t>Initial submissions invited.</w:t>
            </w:r>
          </w:p>
        </w:tc>
        <w:tc>
          <w:tcPr>
            <w:tcW w:w="3119" w:type="dxa"/>
            <w:vAlign w:val="center"/>
          </w:tcPr>
          <w:p w14:paraId="63534870" w14:textId="455591ED" w:rsidR="00AB0269" w:rsidRDefault="00AB0269" w:rsidP="0075060E">
            <w:pPr>
              <w:spacing w:after="200" w:line="276" w:lineRule="auto"/>
              <w:rPr>
                <w:sz w:val="24"/>
              </w:rPr>
            </w:pPr>
            <w:r>
              <w:rPr>
                <w:sz w:val="24"/>
              </w:rPr>
              <w:t>31 October – 29 January 2023</w:t>
            </w:r>
            <w:r w:rsidR="008C2FCB">
              <w:rPr>
                <w:sz w:val="24"/>
              </w:rPr>
              <w:t xml:space="preserve"> (13 weeks</w:t>
            </w:r>
            <w:r w:rsidR="00BF222A">
              <w:rPr>
                <w:sz w:val="24"/>
              </w:rPr>
              <w:t xml:space="preserve"> to take account of the Christmas period</w:t>
            </w:r>
            <w:r w:rsidR="008C2FCB">
              <w:rPr>
                <w:sz w:val="24"/>
              </w:rPr>
              <w:t>)</w:t>
            </w:r>
          </w:p>
        </w:tc>
      </w:tr>
      <w:tr w:rsidR="00AB0269" w14:paraId="3E653C61" w14:textId="77777777" w:rsidTr="00FB6756">
        <w:trPr>
          <w:trHeight w:val="1305"/>
        </w:trPr>
        <w:tc>
          <w:tcPr>
            <w:tcW w:w="1978" w:type="dxa"/>
            <w:vAlign w:val="center"/>
          </w:tcPr>
          <w:p w14:paraId="01CFE354" w14:textId="77777777" w:rsidR="00AB0269" w:rsidRDefault="00AB0269" w:rsidP="0075060E">
            <w:pPr>
              <w:spacing w:after="200" w:line="276" w:lineRule="auto"/>
              <w:rPr>
                <w:sz w:val="24"/>
              </w:rPr>
            </w:pPr>
            <w:r>
              <w:rPr>
                <w:sz w:val="24"/>
              </w:rPr>
              <w:t>Stage 2</w:t>
            </w:r>
          </w:p>
        </w:tc>
        <w:tc>
          <w:tcPr>
            <w:tcW w:w="4401" w:type="dxa"/>
            <w:vAlign w:val="center"/>
          </w:tcPr>
          <w:p w14:paraId="1F50C244" w14:textId="29DD7DCA" w:rsidR="00AB0269" w:rsidRDefault="00AB0269" w:rsidP="0075060E">
            <w:pPr>
              <w:spacing w:after="200" w:line="276" w:lineRule="auto"/>
              <w:rPr>
                <w:sz w:val="24"/>
              </w:rPr>
            </w:pPr>
            <w:r>
              <w:rPr>
                <w:sz w:val="24"/>
              </w:rPr>
              <w:t>Consideration of submissions received. Draft recommendations prepared.</w:t>
            </w:r>
          </w:p>
        </w:tc>
        <w:tc>
          <w:tcPr>
            <w:tcW w:w="3119" w:type="dxa"/>
            <w:vAlign w:val="center"/>
          </w:tcPr>
          <w:p w14:paraId="78397FBF" w14:textId="59785F32" w:rsidR="00AB0269" w:rsidRDefault="00AB0269" w:rsidP="0075060E">
            <w:pPr>
              <w:spacing w:after="200" w:line="276" w:lineRule="auto"/>
              <w:rPr>
                <w:sz w:val="24"/>
              </w:rPr>
            </w:pPr>
            <w:r>
              <w:rPr>
                <w:sz w:val="24"/>
              </w:rPr>
              <w:t>1 February 2023 – 1 March 2023</w:t>
            </w:r>
          </w:p>
        </w:tc>
      </w:tr>
      <w:tr w:rsidR="00AB0269" w14:paraId="1D6C690F" w14:textId="77777777" w:rsidTr="00FB6756">
        <w:tc>
          <w:tcPr>
            <w:tcW w:w="1978" w:type="dxa"/>
            <w:vAlign w:val="center"/>
          </w:tcPr>
          <w:p w14:paraId="4CCA39A4" w14:textId="77777777" w:rsidR="00AB0269" w:rsidRDefault="00AB0269" w:rsidP="0075060E">
            <w:pPr>
              <w:spacing w:after="200" w:line="276" w:lineRule="auto"/>
              <w:rPr>
                <w:sz w:val="24"/>
              </w:rPr>
            </w:pPr>
            <w:r w:rsidRPr="005D2901">
              <w:rPr>
                <w:b/>
                <w:sz w:val="24"/>
              </w:rPr>
              <w:t xml:space="preserve">Consultation </w:t>
            </w:r>
            <w:r>
              <w:rPr>
                <w:sz w:val="24"/>
              </w:rPr>
              <w:t>Stage 3</w:t>
            </w:r>
          </w:p>
        </w:tc>
        <w:tc>
          <w:tcPr>
            <w:tcW w:w="4401" w:type="dxa"/>
            <w:vAlign w:val="center"/>
          </w:tcPr>
          <w:p w14:paraId="051231B5" w14:textId="312F708C" w:rsidR="00AB0269" w:rsidRDefault="00AB0269" w:rsidP="0075060E">
            <w:pPr>
              <w:spacing w:after="200" w:line="276" w:lineRule="auto"/>
              <w:rPr>
                <w:sz w:val="24"/>
              </w:rPr>
            </w:pPr>
            <w:r>
              <w:rPr>
                <w:sz w:val="24"/>
              </w:rPr>
              <w:t>Draft recommendations published and consulted on.</w:t>
            </w:r>
          </w:p>
        </w:tc>
        <w:tc>
          <w:tcPr>
            <w:tcW w:w="3119" w:type="dxa"/>
            <w:vAlign w:val="center"/>
          </w:tcPr>
          <w:p w14:paraId="26099A2A" w14:textId="23707FC8" w:rsidR="00AB0269" w:rsidRDefault="00AB0269" w:rsidP="0075060E">
            <w:pPr>
              <w:spacing w:after="200" w:line="276" w:lineRule="auto"/>
              <w:rPr>
                <w:sz w:val="24"/>
              </w:rPr>
            </w:pPr>
            <w:r>
              <w:rPr>
                <w:sz w:val="24"/>
              </w:rPr>
              <w:t xml:space="preserve">1 March – </w:t>
            </w:r>
            <w:r w:rsidR="00BF222A">
              <w:rPr>
                <w:sz w:val="24"/>
              </w:rPr>
              <w:t xml:space="preserve">26 </w:t>
            </w:r>
            <w:r>
              <w:rPr>
                <w:sz w:val="24"/>
              </w:rPr>
              <w:t>April 2023</w:t>
            </w:r>
            <w:r w:rsidR="00BF222A">
              <w:rPr>
                <w:sz w:val="24"/>
              </w:rPr>
              <w:t xml:space="preserve"> (</w:t>
            </w:r>
            <w:r w:rsidR="005B5972">
              <w:rPr>
                <w:sz w:val="24"/>
              </w:rPr>
              <w:t>8</w:t>
            </w:r>
            <w:r w:rsidR="00BF222A">
              <w:rPr>
                <w:sz w:val="24"/>
              </w:rPr>
              <w:t xml:space="preserve"> weeks)</w:t>
            </w:r>
          </w:p>
        </w:tc>
      </w:tr>
      <w:tr w:rsidR="00AB0269" w14:paraId="41B6D079" w14:textId="77777777" w:rsidTr="00FB6756">
        <w:tc>
          <w:tcPr>
            <w:tcW w:w="1978" w:type="dxa"/>
            <w:vAlign w:val="center"/>
          </w:tcPr>
          <w:p w14:paraId="63071454" w14:textId="77777777" w:rsidR="00AB0269" w:rsidRDefault="00AB0269" w:rsidP="0075060E">
            <w:pPr>
              <w:spacing w:after="200" w:line="276" w:lineRule="auto"/>
              <w:rPr>
                <w:sz w:val="24"/>
              </w:rPr>
            </w:pPr>
            <w:r>
              <w:rPr>
                <w:sz w:val="24"/>
              </w:rPr>
              <w:t>Stage 4</w:t>
            </w:r>
          </w:p>
        </w:tc>
        <w:tc>
          <w:tcPr>
            <w:tcW w:w="4401" w:type="dxa"/>
            <w:vAlign w:val="center"/>
          </w:tcPr>
          <w:p w14:paraId="21A3B6FB" w14:textId="03FD6D40" w:rsidR="00AB0269" w:rsidRDefault="00AB0269" w:rsidP="0075060E">
            <w:pPr>
              <w:spacing w:after="200" w:line="276" w:lineRule="auto"/>
              <w:rPr>
                <w:sz w:val="24"/>
              </w:rPr>
            </w:pPr>
            <w:r>
              <w:rPr>
                <w:sz w:val="24"/>
              </w:rPr>
              <w:t>Consideration of submissions received. Final recommendations prepared.</w:t>
            </w:r>
          </w:p>
        </w:tc>
        <w:tc>
          <w:tcPr>
            <w:tcW w:w="3119" w:type="dxa"/>
            <w:vAlign w:val="center"/>
          </w:tcPr>
          <w:p w14:paraId="20AF7435" w14:textId="18DB97E7" w:rsidR="00AB0269" w:rsidRDefault="00AB0269" w:rsidP="0075060E">
            <w:pPr>
              <w:spacing w:after="200" w:line="276" w:lineRule="auto"/>
              <w:rPr>
                <w:sz w:val="24"/>
              </w:rPr>
            </w:pPr>
            <w:r>
              <w:rPr>
                <w:sz w:val="24"/>
              </w:rPr>
              <w:t>May 2023</w:t>
            </w:r>
          </w:p>
        </w:tc>
      </w:tr>
      <w:tr w:rsidR="00AB0269" w14:paraId="43826495" w14:textId="77777777" w:rsidTr="00FB6756">
        <w:tc>
          <w:tcPr>
            <w:tcW w:w="1978" w:type="dxa"/>
            <w:vAlign w:val="center"/>
          </w:tcPr>
          <w:p w14:paraId="1D689BE8" w14:textId="77777777" w:rsidR="00AB0269" w:rsidRDefault="00AB0269" w:rsidP="0075060E">
            <w:pPr>
              <w:spacing w:after="200" w:line="276" w:lineRule="auto"/>
              <w:rPr>
                <w:sz w:val="24"/>
              </w:rPr>
            </w:pPr>
            <w:r>
              <w:rPr>
                <w:sz w:val="24"/>
              </w:rPr>
              <w:t>Final stage</w:t>
            </w:r>
          </w:p>
        </w:tc>
        <w:tc>
          <w:tcPr>
            <w:tcW w:w="4401" w:type="dxa"/>
            <w:vAlign w:val="center"/>
          </w:tcPr>
          <w:p w14:paraId="5131E6FA" w14:textId="2C54E12E" w:rsidR="00AB0269" w:rsidRDefault="00AB0269" w:rsidP="0075060E">
            <w:pPr>
              <w:spacing w:after="200" w:line="276" w:lineRule="auto"/>
              <w:rPr>
                <w:sz w:val="24"/>
              </w:rPr>
            </w:pPr>
            <w:r>
              <w:rPr>
                <w:sz w:val="24"/>
              </w:rPr>
              <w:t>Recommendations submitted to full Council for approval.</w:t>
            </w:r>
          </w:p>
        </w:tc>
        <w:tc>
          <w:tcPr>
            <w:tcW w:w="3119" w:type="dxa"/>
            <w:vAlign w:val="center"/>
          </w:tcPr>
          <w:p w14:paraId="0276DA8B" w14:textId="77777777" w:rsidR="00AB0269" w:rsidRDefault="00AB0269" w:rsidP="0075060E">
            <w:pPr>
              <w:spacing w:after="200" w:line="276" w:lineRule="auto"/>
              <w:rPr>
                <w:sz w:val="24"/>
              </w:rPr>
            </w:pPr>
            <w:r>
              <w:rPr>
                <w:sz w:val="24"/>
              </w:rPr>
              <w:t>July 2023</w:t>
            </w:r>
          </w:p>
        </w:tc>
      </w:tr>
    </w:tbl>
    <w:p w14:paraId="667588C9" w14:textId="77777777" w:rsidR="002C7913" w:rsidRPr="002C7913" w:rsidRDefault="002C7913" w:rsidP="0075060E">
      <w:pPr>
        <w:spacing w:line="276" w:lineRule="auto"/>
        <w:ind w:left="720" w:hanging="720"/>
        <w:jc w:val="both"/>
        <w:rPr>
          <w:sz w:val="16"/>
          <w:szCs w:val="16"/>
        </w:rPr>
      </w:pPr>
    </w:p>
    <w:p w14:paraId="5CD2C838" w14:textId="0EF4733A" w:rsidR="004D48B5" w:rsidRDefault="001B38EB" w:rsidP="0075060E">
      <w:pPr>
        <w:spacing w:after="200" w:line="276" w:lineRule="auto"/>
        <w:ind w:left="567" w:hanging="567"/>
        <w:jc w:val="both"/>
        <w:rPr>
          <w:sz w:val="24"/>
        </w:rPr>
      </w:pPr>
      <w:r>
        <w:rPr>
          <w:sz w:val="24"/>
        </w:rPr>
        <w:t>3.</w:t>
      </w:r>
      <w:r w:rsidR="00E47955">
        <w:rPr>
          <w:sz w:val="24"/>
        </w:rPr>
        <w:t>5</w:t>
      </w:r>
      <w:r w:rsidR="005D2901">
        <w:rPr>
          <w:sz w:val="24"/>
        </w:rPr>
        <w:tab/>
      </w:r>
      <w:r w:rsidR="00DA39BF">
        <w:rPr>
          <w:sz w:val="24"/>
        </w:rPr>
        <w:t>Before making any recommendations or publishing final proposals the council will take full account of the views of local people and other stakeholders.</w:t>
      </w:r>
      <w:r w:rsidR="00FB6756">
        <w:rPr>
          <w:sz w:val="24"/>
        </w:rPr>
        <w:t xml:space="preserve"> </w:t>
      </w:r>
      <w:r w:rsidR="005D2901">
        <w:rPr>
          <w:sz w:val="24"/>
        </w:rPr>
        <w:t xml:space="preserve">The </w:t>
      </w:r>
      <w:r w:rsidR="00FB6756">
        <w:rPr>
          <w:sz w:val="24"/>
        </w:rPr>
        <w:t>C</w:t>
      </w:r>
      <w:r w:rsidR="005D2901">
        <w:rPr>
          <w:sz w:val="24"/>
        </w:rPr>
        <w:t>ouncil will comply with the statutory consultative requirements by:</w:t>
      </w:r>
    </w:p>
    <w:p w14:paraId="1D57F4B9" w14:textId="2724B324" w:rsidR="005D2901" w:rsidRDefault="001B38EB" w:rsidP="005B5972">
      <w:pPr>
        <w:spacing w:line="276" w:lineRule="auto"/>
        <w:ind w:left="1276" w:hanging="709"/>
        <w:jc w:val="both"/>
        <w:rPr>
          <w:sz w:val="24"/>
        </w:rPr>
      </w:pPr>
      <w:r>
        <w:rPr>
          <w:sz w:val="24"/>
        </w:rPr>
        <w:t>3.</w:t>
      </w:r>
      <w:r w:rsidR="00BB438D">
        <w:rPr>
          <w:sz w:val="24"/>
        </w:rPr>
        <w:t>4</w:t>
      </w:r>
      <w:r w:rsidR="002B1BAD">
        <w:rPr>
          <w:sz w:val="24"/>
        </w:rPr>
        <w:t>.1</w:t>
      </w:r>
      <w:r w:rsidR="002B1BAD">
        <w:rPr>
          <w:sz w:val="24"/>
        </w:rPr>
        <w:tab/>
      </w:r>
      <w:r w:rsidR="005D2901">
        <w:rPr>
          <w:sz w:val="24"/>
        </w:rPr>
        <w:t>Consulting local government electors an</w:t>
      </w:r>
      <w:r w:rsidR="00805572">
        <w:rPr>
          <w:sz w:val="24"/>
        </w:rPr>
        <w:t xml:space="preserve">d residents within the </w:t>
      </w:r>
      <w:r w:rsidR="00692162" w:rsidRPr="005777D7">
        <w:rPr>
          <w:sz w:val="24"/>
        </w:rPr>
        <w:t>areas</w:t>
      </w:r>
      <w:r w:rsidR="00805572">
        <w:rPr>
          <w:sz w:val="24"/>
        </w:rPr>
        <w:t>;</w:t>
      </w:r>
    </w:p>
    <w:p w14:paraId="525411A8" w14:textId="1A28E784" w:rsidR="005D2901" w:rsidRDefault="001B38EB" w:rsidP="005B5972">
      <w:pPr>
        <w:spacing w:line="276" w:lineRule="auto"/>
        <w:ind w:left="1276" w:hanging="709"/>
        <w:jc w:val="both"/>
        <w:rPr>
          <w:sz w:val="24"/>
        </w:rPr>
      </w:pPr>
      <w:r>
        <w:rPr>
          <w:sz w:val="24"/>
        </w:rPr>
        <w:t>3.</w:t>
      </w:r>
      <w:r w:rsidR="00BB438D">
        <w:rPr>
          <w:sz w:val="24"/>
        </w:rPr>
        <w:t>4</w:t>
      </w:r>
      <w:r w:rsidR="002B1BAD">
        <w:rPr>
          <w:sz w:val="24"/>
        </w:rPr>
        <w:t>.2</w:t>
      </w:r>
      <w:r w:rsidR="002B1BAD">
        <w:rPr>
          <w:sz w:val="24"/>
        </w:rPr>
        <w:tab/>
      </w:r>
      <w:r w:rsidR="005D2901">
        <w:rPr>
          <w:sz w:val="24"/>
        </w:rPr>
        <w:t xml:space="preserve">Consulting any other persons or bodies (including local councils) which appear to the </w:t>
      </w:r>
      <w:r w:rsidR="008C2FCB">
        <w:rPr>
          <w:sz w:val="24"/>
        </w:rPr>
        <w:t>c</w:t>
      </w:r>
      <w:r w:rsidR="005D2901">
        <w:rPr>
          <w:sz w:val="24"/>
        </w:rPr>
        <w:t>ouncil</w:t>
      </w:r>
      <w:r w:rsidR="00805572">
        <w:rPr>
          <w:sz w:val="24"/>
        </w:rPr>
        <w:t xml:space="preserve"> to have an interest in the </w:t>
      </w:r>
      <w:proofErr w:type="gramStart"/>
      <w:r w:rsidR="00805572">
        <w:rPr>
          <w:sz w:val="24"/>
        </w:rPr>
        <w:t>CGR;</w:t>
      </w:r>
      <w:proofErr w:type="gramEnd"/>
    </w:p>
    <w:p w14:paraId="7E363990" w14:textId="25E2B955" w:rsidR="005D2901" w:rsidRDefault="001B38EB" w:rsidP="005B5972">
      <w:pPr>
        <w:spacing w:line="276" w:lineRule="auto"/>
        <w:ind w:left="1276" w:hanging="709"/>
        <w:jc w:val="both"/>
        <w:rPr>
          <w:sz w:val="24"/>
        </w:rPr>
      </w:pPr>
      <w:r>
        <w:rPr>
          <w:sz w:val="24"/>
        </w:rPr>
        <w:t>3.</w:t>
      </w:r>
      <w:r w:rsidR="00BB438D">
        <w:rPr>
          <w:sz w:val="24"/>
        </w:rPr>
        <w:t>4</w:t>
      </w:r>
      <w:r w:rsidR="002B1BAD">
        <w:rPr>
          <w:sz w:val="24"/>
        </w:rPr>
        <w:t>.3</w:t>
      </w:r>
      <w:r w:rsidR="002B1BAD">
        <w:rPr>
          <w:sz w:val="24"/>
        </w:rPr>
        <w:tab/>
      </w:r>
      <w:r w:rsidR="005D2901">
        <w:rPr>
          <w:sz w:val="24"/>
        </w:rPr>
        <w:t>Notifying and consulting with Gloucestershire County Council</w:t>
      </w:r>
      <w:r w:rsidR="00805572">
        <w:rPr>
          <w:sz w:val="24"/>
        </w:rPr>
        <w:t>; and</w:t>
      </w:r>
    </w:p>
    <w:p w14:paraId="73D3E825" w14:textId="480ECBC9" w:rsidR="005777D7" w:rsidRDefault="001B38EB" w:rsidP="008C2FCB">
      <w:pPr>
        <w:spacing w:line="276" w:lineRule="auto"/>
        <w:ind w:left="1276" w:hanging="709"/>
        <w:jc w:val="both"/>
        <w:rPr>
          <w:sz w:val="24"/>
        </w:rPr>
      </w:pPr>
      <w:r>
        <w:rPr>
          <w:sz w:val="24"/>
        </w:rPr>
        <w:t>3.</w:t>
      </w:r>
      <w:r w:rsidR="00BB438D">
        <w:rPr>
          <w:sz w:val="24"/>
        </w:rPr>
        <w:t>4</w:t>
      </w:r>
      <w:r w:rsidR="002B1BAD">
        <w:rPr>
          <w:sz w:val="24"/>
        </w:rPr>
        <w:t>.4</w:t>
      </w:r>
      <w:r w:rsidR="002B1BAD">
        <w:rPr>
          <w:sz w:val="24"/>
        </w:rPr>
        <w:tab/>
      </w:r>
      <w:r w:rsidR="005D2901">
        <w:rPr>
          <w:sz w:val="24"/>
        </w:rPr>
        <w:t>Taking into account any representations rece</w:t>
      </w:r>
      <w:r w:rsidR="00805572">
        <w:rPr>
          <w:sz w:val="24"/>
        </w:rPr>
        <w:t>ived in connection with the CGR</w:t>
      </w:r>
      <w:r w:rsidR="0091489F">
        <w:rPr>
          <w:sz w:val="24"/>
        </w:rPr>
        <w:t>.</w:t>
      </w:r>
    </w:p>
    <w:p w14:paraId="7AACBF20" w14:textId="77777777" w:rsidR="008C2FCB" w:rsidRDefault="008C2FCB" w:rsidP="005B5972">
      <w:pPr>
        <w:spacing w:line="276" w:lineRule="auto"/>
        <w:ind w:left="1276" w:hanging="709"/>
        <w:jc w:val="both"/>
        <w:rPr>
          <w:sz w:val="24"/>
        </w:rPr>
      </w:pPr>
    </w:p>
    <w:p w14:paraId="6CD7DC01" w14:textId="5639448A" w:rsidR="00011D78" w:rsidRDefault="00725E0B" w:rsidP="00725E0B">
      <w:pPr>
        <w:spacing w:line="276" w:lineRule="auto"/>
        <w:ind w:left="567" w:hanging="567"/>
        <w:jc w:val="both"/>
        <w:rPr>
          <w:sz w:val="24"/>
        </w:rPr>
      </w:pPr>
      <w:r>
        <w:rPr>
          <w:sz w:val="24"/>
        </w:rPr>
        <w:t>3.</w:t>
      </w:r>
      <w:r w:rsidR="00E47955">
        <w:rPr>
          <w:sz w:val="24"/>
        </w:rPr>
        <w:t>6</w:t>
      </w:r>
      <w:r>
        <w:rPr>
          <w:sz w:val="24"/>
        </w:rPr>
        <w:t xml:space="preserve"> </w:t>
      </w:r>
      <w:r>
        <w:rPr>
          <w:sz w:val="24"/>
        </w:rPr>
        <w:tab/>
        <w:t xml:space="preserve">Once the review has been completed, any changes to the governance arrangements will be implemented at the next local elections scheduled to take place </w:t>
      </w:r>
      <w:proofErr w:type="gramStart"/>
      <w:r>
        <w:rPr>
          <w:sz w:val="24"/>
        </w:rPr>
        <w:t>in  May</w:t>
      </w:r>
      <w:proofErr w:type="gramEnd"/>
      <w:r>
        <w:rPr>
          <w:sz w:val="24"/>
        </w:rPr>
        <w:t xml:space="preserve"> 2024.</w:t>
      </w:r>
    </w:p>
    <w:p w14:paraId="7695F3A9" w14:textId="2AF8BC9C" w:rsidR="00725E0B" w:rsidRDefault="00725E0B" w:rsidP="005B5972">
      <w:pPr>
        <w:spacing w:line="276" w:lineRule="auto"/>
        <w:ind w:left="567" w:hanging="567"/>
        <w:jc w:val="both"/>
        <w:rPr>
          <w:sz w:val="24"/>
        </w:rPr>
      </w:pPr>
    </w:p>
    <w:p w14:paraId="606DD3BA" w14:textId="579E1355" w:rsidR="008825A5" w:rsidRPr="005B5972" w:rsidRDefault="008825A5" w:rsidP="00817843">
      <w:pPr>
        <w:spacing w:after="200" w:line="276" w:lineRule="auto"/>
        <w:ind w:left="567" w:hanging="567"/>
        <w:jc w:val="both"/>
        <w:rPr>
          <w:b/>
          <w:bCs/>
          <w:sz w:val="24"/>
        </w:rPr>
      </w:pPr>
      <w:r w:rsidRPr="005B5972">
        <w:rPr>
          <w:b/>
          <w:bCs/>
          <w:sz w:val="24"/>
        </w:rPr>
        <w:t xml:space="preserve">4. </w:t>
      </w:r>
      <w:r w:rsidR="00817843">
        <w:rPr>
          <w:b/>
          <w:bCs/>
          <w:sz w:val="24"/>
        </w:rPr>
        <w:tab/>
      </w:r>
      <w:r w:rsidRPr="00FB6756">
        <w:rPr>
          <w:rFonts w:ascii="Arial Bold" w:hAnsi="Arial Bold"/>
          <w:b/>
          <w:bCs/>
          <w:caps/>
          <w:sz w:val="24"/>
        </w:rPr>
        <w:t>CGR Working Group</w:t>
      </w:r>
    </w:p>
    <w:p w14:paraId="6993D870" w14:textId="079F811E" w:rsidR="008825A5" w:rsidRDefault="008825A5" w:rsidP="00817843">
      <w:pPr>
        <w:spacing w:after="200" w:line="276" w:lineRule="auto"/>
        <w:ind w:left="567" w:hanging="567"/>
        <w:jc w:val="both"/>
        <w:rPr>
          <w:sz w:val="24"/>
        </w:rPr>
      </w:pPr>
      <w:r>
        <w:rPr>
          <w:sz w:val="24"/>
        </w:rPr>
        <w:t xml:space="preserve">4.1 </w:t>
      </w:r>
      <w:r w:rsidR="00BF222A">
        <w:rPr>
          <w:sz w:val="24"/>
        </w:rPr>
        <w:tab/>
      </w:r>
      <w:r>
        <w:rPr>
          <w:sz w:val="24"/>
        </w:rPr>
        <w:t>It is recommended that that a CGR Working Group is established to include the Ward Councillors of those parish/town council areas that are involved in the Review.</w:t>
      </w:r>
    </w:p>
    <w:p w14:paraId="5BF1262B" w14:textId="1AE4ED03" w:rsidR="008825A5" w:rsidRDefault="008825A5" w:rsidP="008825A5">
      <w:pPr>
        <w:spacing w:after="200" w:line="276" w:lineRule="auto"/>
        <w:ind w:left="567" w:hanging="567"/>
        <w:jc w:val="both"/>
        <w:rPr>
          <w:sz w:val="24"/>
        </w:rPr>
      </w:pPr>
      <w:r>
        <w:rPr>
          <w:sz w:val="24"/>
        </w:rPr>
        <w:t>4.2</w:t>
      </w:r>
      <w:r>
        <w:rPr>
          <w:sz w:val="24"/>
        </w:rPr>
        <w:tab/>
        <w:t>The purpose of</w:t>
      </w:r>
      <w:r w:rsidR="008C2FCB">
        <w:rPr>
          <w:sz w:val="24"/>
        </w:rPr>
        <w:t xml:space="preserve"> the</w:t>
      </w:r>
      <w:r>
        <w:rPr>
          <w:sz w:val="24"/>
        </w:rPr>
        <w:t xml:space="preserve"> Working Group will be to </w:t>
      </w:r>
      <w:r w:rsidR="005C420E">
        <w:rPr>
          <w:sz w:val="24"/>
        </w:rPr>
        <w:t xml:space="preserve">develop draft and final recommendations by </w:t>
      </w:r>
      <w:r>
        <w:rPr>
          <w:sz w:val="24"/>
        </w:rPr>
        <w:t>consider</w:t>
      </w:r>
      <w:r w:rsidR="005C420E">
        <w:rPr>
          <w:sz w:val="24"/>
        </w:rPr>
        <w:t>ing</w:t>
      </w:r>
      <w:r>
        <w:rPr>
          <w:sz w:val="24"/>
        </w:rPr>
        <w:t xml:space="preserve"> the submissions received alongside a range of other important matters, </w:t>
      </w:r>
      <w:r>
        <w:rPr>
          <w:sz w:val="24"/>
        </w:rPr>
        <w:lastRenderedPageBreak/>
        <w:t xml:space="preserve">including </w:t>
      </w:r>
      <w:r w:rsidR="007A13B1">
        <w:rPr>
          <w:sz w:val="24"/>
        </w:rPr>
        <w:t>the statutory criteria</w:t>
      </w:r>
      <w:r>
        <w:rPr>
          <w:sz w:val="24"/>
        </w:rPr>
        <w:t>, government guidance and the terms of reference of the review</w:t>
      </w:r>
      <w:r w:rsidR="005C420E">
        <w:rPr>
          <w:sz w:val="24"/>
        </w:rPr>
        <w:t xml:space="preserve"> in a series of workshops held after each consultation period</w:t>
      </w:r>
      <w:r>
        <w:rPr>
          <w:sz w:val="24"/>
        </w:rPr>
        <w:t xml:space="preserve">. </w:t>
      </w:r>
    </w:p>
    <w:p w14:paraId="5B655871" w14:textId="51CBA0E4" w:rsidR="00BF222A" w:rsidRDefault="00BF222A" w:rsidP="00BF222A">
      <w:pPr>
        <w:spacing w:after="200" w:line="276" w:lineRule="auto"/>
        <w:ind w:left="567" w:hanging="567"/>
        <w:jc w:val="both"/>
        <w:rPr>
          <w:sz w:val="24"/>
        </w:rPr>
      </w:pPr>
      <w:r>
        <w:rPr>
          <w:sz w:val="24"/>
        </w:rPr>
        <w:t xml:space="preserve">4.3 </w:t>
      </w:r>
      <w:r>
        <w:rPr>
          <w:sz w:val="24"/>
        </w:rPr>
        <w:tab/>
      </w:r>
      <w:r w:rsidR="00C67D63">
        <w:rPr>
          <w:sz w:val="24"/>
        </w:rPr>
        <w:t xml:space="preserve">A briefing for the </w:t>
      </w:r>
      <w:r w:rsidR="00FB6756">
        <w:rPr>
          <w:sz w:val="24"/>
        </w:rPr>
        <w:t>T</w:t>
      </w:r>
      <w:r w:rsidR="00C67D63">
        <w:rPr>
          <w:sz w:val="24"/>
        </w:rPr>
        <w:t xml:space="preserve">own and </w:t>
      </w:r>
      <w:r w:rsidR="00FB6756">
        <w:rPr>
          <w:sz w:val="24"/>
        </w:rPr>
        <w:t>P</w:t>
      </w:r>
      <w:r w:rsidR="00C67D63">
        <w:rPr>
          <w:sz w:val="24"/>
        </w:rPr>
        <w:t xml:space="preserve">arish </w:t>
      </w:r>
      <w:r w:rsidR="00FB6756">
        <w:rPr>
          <w:sz w:val="24"/>
        </w:rPr>
        <w:t>C</w:t>
      </w:r>
      <w:r w:rsidR="00C67D63">
        <w:rPr>
          <w:sz w:val="24"/>
        </w:rPr>
        <w:t xml:space="preserve">ouncils involved in the CGR and the respective District Ward Member(s) took place on the 12 October 2022. </w:t>
      </w:r>
      <w:r>
        <w:rPr>
          <w:sz w:val="24"/>
        </w:rPr>
        <w:t xml:space="preserve">Ward members </w:t>
      </w:r>
      <w:r w:rsidR="00C67D63">
        <w:rPr>
          <w:sz w:val="24"/>
        </w:rPr>
        <w:t xml:space="preserve">were provisionally </w:t>
      </w:r>
      <w:r>
        <w:rPr>
          <w:sz w:val="24"/>
        </w:rPr>
        <w:t>invited to take part in the CGR Working Group subject to Council approval.</w:t>
      </w:r>
    </w:p>
    <w:p w14:paraId="3DF759CE" w14:textId="7060A40E" w:rsidR="002B1BAD" w:rsidRDefault="008825A5" w:rsidP="0075060E">
      <w:pPr>
        <w:spacing w:line="276" w:lineRule="auto"/>
        <w:ind w:left="567" w:hanging="567"/>
        <w:jc w:val="both"/>
        <w:rPr>
          <w:b/>
          <w:sz w:val="24"/>
        </w:rPr>
      </w:pPr>
      <w:r>
        <w:rPr>
          <w:b/>
          <w:sz w:val="24"/>
        </w:rPr>
        <w:t>5.</w:t>
      </w:r>
      <w:r w:rsidR="002B1BAD">
        <w:rPr>
          <w:b/>
          <w:sz w:val="24"/>
        </w:rPr>
        <w:tab/>
      </w:r>
      <w:r w:rsidR="002B1BAD" w:rsidRPr="00063804">
        <w:rPr>
          <w:b/>
          <w:sz w:val="24"/>
        </w:rPr>
        <w:t>COUNCIL DECISION</w:t>
      </w:r>
    </w:p>
    <w:p w14:paraId="553D061B" w14:textId="77777777" w:rsidR="002B1BAD" w:rsidRPr="002C7913" w:rsidRDefault="002B1BAD" w:rsidP="0075060E">
      <w:pPr>
        <w:spacing w:line="276" w:lineRule="auto"/>
        <w:ind w:left="567" w:hanging="567"/>
        <w:jc w:val="both"/>
        <w:rPr>
          <w:b/>
          <w:sz w:val="16"/>
          <w:szCs w:val="16"/>
        </w:rPr>
      </w:pPr>
    </w:p>
    <w:p w14:paraId="2120300C" w14:textId="4682AD37" w:rsidR="002B1BAD" w:rsidRDefault="008825A5" w:rsidP="0075060E">
      <w:pPr>
        <w:spacing w:line="276" w:lineRule="auto"/>
        <w:ind w:left="567" w:hanging="567"/>
        <w:jc w:val="both"/>
        <w:rPr>
          <w:sz w:val="24"/>
        </w:rPr>
      </w:pPr>
      <w:r>
        <w:rPr>
          <w:sz w:val="24"/>
        </w:rPr>
        <w:t>5</w:t>
      </w:r>
      <w:r w:rsidR="002B1BAD">
        <w:rPr>
          <w:sz w:val="24"/>
        </w:rPr>
        <w:t>.1</w:t>
      </w:r>
      <w:r w:rsidR="002B1BAD">
        <w:rPr>
          <w:sz w:val="24"/>
        </w:rPr>
        <w:tab/>
      </w:r>
      <w:r w:rsidR="002B1BAD" w:rsidRPr="00227EB6">
        <w:rPr>
          <w:sz w:val="24"/>
        </w:rPr>
        <w:t>The Local Government and Publ</w:t>
      </w:r>
      <w:r w:rsidR="002B1BAD">
        <w:rPr>
          <w:sz w:val="24"/>
        </w:rPr>
        <w:t xml:space="preserve">ic Involvement Health Act 2007 </w:t>
      </w:r>
      <w:r w:rsidR="002B1BAD" w:rsidRPr="00227EB6">
        <w:rPr>
          <w:sz w:val="24"/>
        </w:rPr>
        <w:t xml:space="preserve">devolved power to carry out a Community Governance Review to Principal Councils. </w:t>
      </w:r>
      <w:r w:rsidR="002B1BAD">
        <w:rPr>
          <w:sz w:val="24"/>
        </w:rPr>
        <w:t>The decision to conduct a CGR therefore sits with the District Council.</w:t>
      </w:r>
    </w:p>
    <w:p w14:paraId="067EFC43" w14:textId="77777777" w:rsidR="002E7FD4" w:rsidRDefault="002E7FD4" w:rsidP="002E7FD4">
      <w:pPr>
        <w:pStyle w:val="ListParagraph"/>
        <w:ind w:right="43"/>
        <w:jc w:val="both"/>
        <w:rPr>
          <w:rFonts w:cs="Arial"/>
          <w:b/>
          <w:sz w:val="24"/>
        </w:rPr>
      </w:pPr>
    </w:p>
    <w:p w14:paraId="50C2ED91" w14:textId="48CF625B" w:rsidR="00D34666" w:rsidRPr="00BF222A" w:rsidRDefault="00817843" w:rsidP="00BF222A">
      <w:pPr>
        <w:tabs>
          <w:tab w:val="left" w:pos="567"/>
        </w:tabs>
        <w:ind w:right="43"/>
        <w:jc w:val="both"/>
        <w:rPr>
          <w:rFonts w:cs="Arial"/>
          <w:b/>
          <w:sz w:val="24"/>
        </w:rPr>
      </w:pPr>
      <w:r>
        <w:rPr>
          <w:rFonts w:cs="Arial"/>
          <w:b/>
          <w:sz w:val="24"/>
        </w:rPr>
        <w:t>6</w:t>
      </w:r>
      <w:r w:rsidR="008825A5">
        <w:rPr>
          <w:rFonts w:cs="Arial"/>
          <w:b/>
          <w:sz w:val="24"/>
        </w:rPr>
        <w:t xml:space="preserve">. </w:t>
      </w:r>
      <w:r w:rsidR="008825A5">
        <w:rPr>
          <w:rFonts w:cs="Arial"/>
          <w:b/>
          <w:sz w:val="24"/>
        </w:rPr>
        <w:tab/>
      </w:r>
      <w:r w:rsidR="00D34666" w:rsidRPr="00BF222A">
        <w:rPr>
          <w:rFonts w:cs="Arial"/>
          <w:b/>
          <w:sz w:val="24"/>
        </w:rPr>
        <w:t>IMPLICATIONS</w:t>
      </w:r>
    </w:p>
    <w:p w14:paraId="6120BC6D" w14:textId="77777777" w:rsidR="00D34666" w:rsidRPr="008E15CA" w:rsidRDefault="00D34666" w:rsidP="00D34666">
      <w:pPr>
        <w:pStyle w:val="ListParagraph"/>
        <w:ind w:left="0" w:right="43"/>
        <w:jc w:val="both"/>
        <w:rPr>
          <w:rFonts w:cs="Arial"/>
          <w:b/>
          <w:sz w:val="24"/>
        </w:rPr>
      </w:pPr>
    </w:p>
    <w:p w14:paraId="1AC66C8D" w14:textId="77777777" w:rsidR="00817843" w:rsidRPr="00817843" w:rsidRDefault="00817843" w:rsidP="00817843">
      <w:pPr>
        <w:pStyle w:val="ListParagraph"/>
        <w:numPr>
          <w:ilvl w:val="0"/>
          <w:numId w:val="16"/>
        </w:numPr>
        <w:spacing w:after="120"/>
        <w:ind w:right="45"/>
        <w:jc w:val="both"/>
        <w:rPr>
          <w:rFonts w:cs="Arial"/>
          <w:b/>
          <w:vanish/>
          <w:sz w:val="24"/>
        </w:rPr>
      </w:pPr>
    </w:p>
    <w:p w14:paraId="176CE6CB" w14:textId="77777777" w:rsidR="00817843" w:rsidRPr="00817843" w:rsidRDefault="00817843" w:rsidP="00817843">
      <w:pPr>
        <w:pStyle w:val="ListParagraph"/>
        <w:numPr>
          <w:ilvl w:val="0"/>
          <w:numId w:val="16"/>
        </w:numPr>
        <w:spacing w:after="120"/>
        <w:ind w:right="45"/>
        <w:jc w:val="both"/>
        <w:rPr>
          <w:rFonts w:cs="Arial"/>
          <w:b/>
          <w:vanish/>
          <w:sz w:val="24"/>
        </w:rPr>
      </w:pPr>
    </w:p>
    <w:p w14:paraId="3FE978E4" w14:textId="493F2B4C" w:rsidR="00D34666" w:rsidRPr="00D34666" w:rsidRDefault="00D34666" w:rsidP="00817843">
      <w:pPr>
        <w:pStyle w:val="ListParagraph"/>
        <w:numPr>
          <w:ilvl w:val="1"/>
          <w:numId w:val="16"/>
        </w:numPr>
        <w:spacing w:after="120"/>
        <w:ind w:left="567" w:right="45" w:hanging="567"/>
        <w:jc w:val="both"/>
        <w:rPr>
          <w:rFonts w:cs="Arial"/>
          <w:b/>
          <w:sz w:val="24"/>
        </w:rPr>
      </w:pPr>
      <w:r w:rsidRPr="00D34666">
        <w:rPr>
          <w:rFonts w:cs="Arial"/>
          <w:b/>
          <w:sz w:val="24"/>
        </w:rPr>
        <w:t>Financial Implications</w:t>
      </w:r>
    </w:p>
    <w:p w14:paraId="03426A77" w14:textId="3CB49D15" w:rsidR="00D34666" w:rsidRDefault="00331C1B" w:rsidP="005B5972">
      <w:pPr>
        <w:pStyle w:val="ListParagraph"/>
        <w:spacing w:after="120"/>
        <w:ind w:left="567" w:right="43"/>
        <w:jc w:val="both"/>
        <w:rPr>
          <w:sz w:val="24"/>
        </w:rPr>
      </w:pPr>
      <w:r w:rsidRPr="006A719F">
        <w:rPr>
          <w:sz w:val="24"/>
        </w:rPr>
        <w:t>The resource requirements are expected to be largely officer time. Any additional costs to be incurred will need to be identified from within existing budgets</w:t>
      </w:r>
      <w:r w:rsidR="006A719F">
        <w:rPr>
          <w:sz w:val="24"/>
        </w:rPr>
        <w:t>.</w:t>
      </w:r>
    </w:p>
    <w:p w14:paraId="77FAFF06" w14:textId="7316858F" w:rsidR="006A719F" w:rsidRDefault="006A719F" w:rsidP="005B5972">
      <w:pPr>
        <w:pStyle w:val="ListParagraph"/>
        <w:spacing w:after="120"/>
        <w:ind w:left="567" w:right="43"/>
        <w:jc w:val="both"/>
        <w:rPr>
          <w:sz w:val="24"/>
        </w:rPr>
      </w:pPr>
    </w:p>
    <w:p w14:paraId="420EACDF" w14:textId="1F9FAFEF" w:rsidR="006A719F" w:rsidRDefault="006A719F" w:rsidP="005B5972">
      <w:pPr>
        <w:pStyle w:val="ListParagraph"/>
        <w:spacing w:after="120"/>
        <w:ind w:left="567" w:right="43"/>
        <w:jc w:val="both"/>
        <w:rPr>
          <w:sz w:val="24"/>
        </w:rPr>
      </w:pPr>
      <w:r>
        <w:rPr>
          <w:sz w:val="24"/>
        </w:rPr>
        <w:t>Andrew Cummings, Strategic Director of Resources</w:t>
      </w:r>
    </w:p>
    <w:p w14:paraId="677912F8" w14:textId="4DE6976F" w:rsidR="00331C1B" w:rsidRDefault="006A719F" w:rsidP="005B5972">
      <w:pPr>
        <w:pStyle w:val="ListParagraph"/>
        <w:spacing w:after="120"/>
        <w:ind w:left="567" w:right="43"/>
        <w:jc w:val="both"/>
        <w:rPr>
          <w:sz w:val="24"/>
        </w:rPr>
      </w:pPr>
      <w:r>
        <w:rPr>
          <w:sz w:val="24"/>
        </w:rPr>
        <w:t xml:space="preserve">Email: </w:t>
      </w:r>
      <w:hyperlink r:id="rId9" w:history="1">
        <w:r w:rsidRPr="00175A0C">
          <w:rPr>
            <w:rStyle w:val="Hyperlink"/>
            <w:sz w:val="24"/>
          </w:rPr>
          <w:t>andrew.cummings@stroud.gov.uk</w:t>
        </w:r>
      </w:hyperlink>
    </w:p>
    <w:p w14:paraId="04C242AB" w14:textId="77777777" w:rsidR="002E7FD4" w:rsidRPr="008E15CA" w:rsidRDefault="002E7FD4" w:rsidP="00D34666">
      <w:pPr>
        <w:pStyle w:val="ListParagraph"/>
        <w:spacing w:after="120"/>
        <w:ind w:left="0" w:right="43"/>
        <w:jc w:val="both"/>
        <w:rPr>
          <w:rFonts w:cs="Arial"/>
          <w:b/>
          <w:sz w:val="24"/>
        </w:rPr>
      </w:pPr>
    </w:p>
    <w:p w14:paraId="25FB02C4" w14:textId="77777777" w:rsidR="00D34666" w:rsidRPr="008E15CA" w:rsidRDefault="00D34666" w:rsidP="002E7FD4">
      <w:pPr>
        <w:pStyle w:val="ListParagraph"/>
        <w:numPr>
          <w:ilvl w:val="1"/>
          <w:numId w:val="16"/>
        </w:numPr>
        <w:spacing w:after="120"/>
        <w:ind w:left="567" w:right="45" w:hanging="567"/>
        <w:jc w:val="both"/>
        <w:rPr>
          <w:rFonts w:cs="Arial"/>
          <w:b/>
          <w:sz w:val="24"/>
        </w:rPr>
      </w:pPr>
      <w:r w:rsidRPr="008E15CA">
        <w:rPr>
          <w:rFonts w:cs="Arial"/>
          <w:b/>
          <w:sz w:val="24"/>
        </w:rPr>
        <w:t>Legal Implications</w:t>
      </w:r>
    </w:p>
    <w:p w14:paraId="3AE42F48" w14:textId="77777777" w:rsidR="006A719F" w:rsidRPr="006A719F" w:rsidRDefault="006A719F" w:rsidP="006A719F">
      <w:pPr>
        <w:pStyle w:val="ListParagraph"/>
        <w:ind w:left="567"/>
        <w:rPr>
          <w:sz w:val="24"/>
        </w:rPr>
      </w:pPr>
      <w:r w:rsidRPr="006A719F">
        <w:rPr>
          <w:sz w:val="24"/>
        </w:rPr>
        <w:t xml:space="preserve">The general powers of the Authority as a principal council to conduct a Community Governance Review (CGR) of its area are contained in Section 82 of the Local Government and Public Involvement in Health Act 2007 (“2007 Act”). </w:t>
      </w:r>
    </w:p>
    <w:p w14:paraId="5EF6ADDA" w14:textId="77777777" w:rsidR="006A719F" w:rsidRPr="006A719F" w:rsidRDefault="006A719F" w:rsidP="006A719F">
      <w:pPr>
        <w:rPr>
          <w:sz w:val="24"/>
        </w:rPr>
      </w:pPr>
    </w:p>
    <w:p w14:paraId="38787616" w14:textId="77777777" w:rsidR="006A719F" w:rsidRPr="006A719F" w:rsidRDefault="006A719F" w:rsidP="006A719F">
      <w:pPr>
        <w:pStyle w:val="ListParagraph"/>
        <w:ind w:left="567"/>
        <w:rPr>
          <w:sz w:val="24"/>
        </w:rPr>
      </w:pPr>
      <w:r w:rsidRPr="006A719F">
        <w:rPr>
          <w:sz w:val="24"/>
        </w:rPr>
        <w:t xml:space="preserve">The 2007 Act states that the principal council may, by order, give effect to the recommendations made in the review and it sets out the duties with which the principal council must comply when undertaking a CGR, including the duty to consult electors and others during the CGR process. The principal council must have regard to the need to secure that community governance within the area under review reflects the identities and interests of the community in that area and is effective and convenient. </w:t>
      </w:r>
    </w:p>
    <w:p w14:paraId="0057076F" w14:textId="77777777" w:rsidR="006A719F" w:rsidRPr="006A719F" w:rsidRDefault="006A719F" w:rsidP="006A719F">
      <w:pPr>
        <w:rPr>
          <w:sz w:val="24"/>
        </w:rPr>
      </w:pPr>
    </w:p>
    <w:p w14:paraId="25C4CDD8" w14:textId="77777777" w:rsidR="006A719F" w:rsidRPr="006A719F" w:rsidRDefault="006A719F" w:rsidP="006A719F">
      <w:pPr>
        <w:pStyle w:val="ListParagraph"/>
        <w:ind w:left="567"/>
        <w:rPr>
          <w:sz w:val="24"/>
        </w:rPr>
      </w:pPr>
      <w:r w:rsidRPr="006A719F">
        <w:rPr>
          <w:sz w:val="24"/>
        </w:rPr>
        <w:t xml:space="preserve">The 2007 Act requires principal councils to have regard to guidance issued by the Secretary of State for and the Local Government Boundary Commission for England. The principal council is required to draw up and publish the terms of reference for the review and make recommendations. </w:t>
      </w:r>
    </w:p>
    <w:p w14:paraId="0A19AADE" w14:textId="77777777" w:rsidR="006A719F" w:rsidRPr="006A719F" w:rsidRDefault="006A719F" w:rsidP="006A719F">
      <w:pPr>
        <w:rPr>
          <w:sz w:val="24"/>
        </w:rPr>
      </w:pPr>
    </w:p>
    <w:p w14:paraId="15BCCEE2" w14:textId="77777777" w:rsidR="006A719F" w:rsidRPr="006A719F" w:rsidRDefault="006A719F" w:rsidP="006A719F">
      <w:pPr>
        <w:pStyle w:val="ListParagraph"/>
        <w:ind w:left="567"/>
        <w:rPr>
          <w:sz w:val="24"/>
        </w:rPr>
      </w:pPr>
      <w:r w:rsidRPr="006A719F">
        <w:rPr>
          <w:sz w:val="24"/>
        </w:rPr>
        <w:t xml:space="preserve">The 2007 Act requires a principal council, as soon as practicable after it has decided to what extent it will give effect to the recommendations made in a community governance review, to publish its decision and the council's reasons for making that decision and thereafter, to take sufficient steps to inform interested persons of its decision and reasons. </w:t>
      </w:r>
    </w:p>
    <w:p w14:paraId="07596B7A" w14:textId="77777777" w:rsidR="006A719F" w:rsidRPr="006A719F" w:rsidRDefault="006A719F" w:rsidP="006A719F">
      <w:pPr>
        <w:jc w:val="both"/>
        <w:rPr>
          <w:rFonts w:cs="Arial"/>
          <w:sz w:val="24"/>
        </w:rPr>
      </w:pPr>
    </w:p>
    <w:p w14:paraId="0C7CE3B7" w14:textId="77777777" w:rsidR="006A719F" w:rsidRPr="006A719F" w:rsidRDefault="006A719F" w:rsidP="006A719F">
      <w:pPr>
        <w:ind w:firstLine="567"/>
        <w:jc w:val="both"/>
        <w:rPr>
          <w:rFonts w:cs="Arial"/>
          <w:sz w:val="24"/>
        </w:rPr>
      </w:pPr>
      <w:r w:rsidRPr="006A719F">
        <w:rPr>
          <w:rFonts w:cs="Arial"/>
          <w:sz w:val="24"/>
        </w:rPr>
        <w:t>One Legal</w:t>
      </w:r>
    </w:p>
    <w:p w14:paraId="2E38A665" w14:textId="77777777" w:rsidR="006A719F" w:rsidRPr="006A719F" w:rsidRDefault="006A719F" w:rsidP="006A719F">
      <w:pPr>
        <w:ind w:left="567" w:right="43"/>
        <w:jc w:val="both"/>
        <w:rPr>
          <w:rFonts w:cs="Arial"/>
          <w:sz w:val="24"/>
        </w:rPr>
      </w:pPr>
      <w:r w:rsidRPr="006A719F">
        <w:rPr>
          <w:rFonts w:cs="Arial"/>
          <w:sz w:val="24"/>
        </w:rPr>
        <w:t xml:space="preserve">Tel: 01684 272012     Email: </w:t>
      </w:r>
      <w:hyperlink r:id="rId10" w:history="1">
        <w:r w:rsidRPr="006A719F">
          <w:rPr>
            <w:rStyle w:val="Hyperlink"/>
            <w:rFonts w:cs="Arial"/>
            <w:sz w:val="24"/>
          </w:rPr>
          <w:t>legalservices@onelegal.org.uk</w:t>
        </w:r>
      </w:hyperlink>
    </w:p>
    <w:p w14:paraId="18D444BE" w14:textId="77777777" w:rsidR="00D34666" w:rsidRPr="008E15CA" w:rsidRDefault="00D34666" w:rsidP="00D34666">
      <w:pPr>
        <w:pStyle w:val="ListParagraph"/>
        <w:ind w:left="709" w:right="43"/>
        <w:jc w:val="both"/>
        <w:rPr>
          <w:rFonts w:cs="Arial"/>
          <w:sz w:val="24"/>
        </w:rPr>
      </w:pPr>
    </w:p>
    <w:p w14:paraId="0DA778CC" w14:textId="554A9096" w:rsidR="002E7FD4" w:rsidRPr="007E1FDF" w:rsidRDefault="00D34666" w:rsidP="002E7FD4">
      <w:pPr>
        <w:pStyle w:val="ListParagraph"/>
        <w:numPr>
          <w:ilvl w:val="1"/>
          <w:numId w:val="16"/>
        </w:numPr>
        <w:spacing w:after="120"/>
        <w:ind w:left="426" w:right="45" w:hanging="426"/>
        <w:jc w:val="both"/>
        <w:rPr>
          <w:rFonts w:cs="Arial"/>
          <w:b/>
          <w:sz w:val="24"/>
        </w:rPr>
      </w:pPr>
      <w:r w:rsidRPr="008E15CA">
        <w:rPr>
          <w:rFonts w:cs="Arial"/>
          <w:b/>
          <w:sz w:val="24"/>
        </w:rPr>
        <w:t xml:space="preserve">  </w:t>
      </w:r>
      <w:r w:rsidRPr="007E1FDF">
        <w:rPr>
          <w:rFonts w:cs="Arial"/>
          <w:b/>
          <w:sz w:val="24"/>
        </w:rPr>
        <w:t>Equality Implications</w:t>
      </w:r>
    </w:p>
    <w:p w14:paraId="2899BCE9" w14:textId="139A74B9" w:rsidR="001F721F" w:rsidRPr="0075060E" w:rsidRDefault="001F721F" w:rsidP="007E1FDF">
      <w:pPr>
        <w:pStyle w:val="ListParagraph"/>
        <w:spacing w:after="120"/>
        <w:ind w:left="567" w:right="45"/>
        <w:jc w:val="both"/>
        <w:rPr>
          <w:sz w:val="24"/>
        </w:rPr>
      </w:pPr>
      <w:r w:rsidRPr="007E1FDF">
        <w:rPr>
          <w:sz w:val="24"/>
        </w:rPr>
        <w:t>There are not any specific changes to service delivery proposed as a result of this decision.</w:t>
      </w:r>
      <w:r w:rsidR="003F54A4" w:rsidRPr="007E1FDF">
        <w:rPr>
          <w:sz w:val="24"/>
        </w:rPr>
        <w:t xml:space="preserve"> </w:t>
      </w:r>
      <w:r w:rsidR="007E1FDF" w:rsidRPr="007E1FDF">
        <w:rPr>
          <w:sz w:val="24"/>
        </w:rPr>
        <w:t>The Council</w:t>
      </w:r>
      <w:r w:rsidR="003F54A4" w:rsidRPr="007E1FDF">
        <w:rPr>
          <w:sz w:val="24"/>
        </w:rPr>
        <w:t xml:space="preserve"> will </w:t>
      </w:r>
      <w:r w:rsidR="007E1FDF">
        <w:rPr>
          <w:sz w:val="24"/>
        </w:rPr>
        <w:t xml:space="preserve">however </w:t>
      </w:r>
      <w:r w:rsidR="003F54A4" w:rsidRPr="007E1FDF">
        <w:rPr>
          <w:sz w:val="24"/>
        </w:rPr>
        <w:t xml:space="preserve">consider any equality </w:t>
      </w:r>
      <w:r w:rsidR="007E1FDF" w:rsidRPr="007E1FDF">
        <w:rPr>
          <w:sz w:val="24"/>
        </w:rPr>
        <w:t>implications</w:t>
      </w:r>
      <w:r w:rsidR="003F54A4" w:rsidRPr="007E1FDF">
        <w:rPr>
          <w:sz w:val="24"/>
        </w:rPr>
        <w:t xml:space="preserve"> when formulating its recommendations. A full Equality Impact Assessment will be undertaken</w:t>
      </w:r>
      <w:r w:rsidR="00011D78">
        <w:rPr>
          <w:sz w:val="24"/>
        </w:rPr>
        <w:t xml:space="preserve"> </w:t>
      </w:r>
      <w:r w:rsidR="003F54A4" w:rsidRPr="007E1FDF">
        <w:rPr>
          <w:sz w:val="24"/>
        </w:rPr>
        <w:t xml:space="preserve">if any of the protected grounds may be affected </w:t>
      </w:r>
      <w:proofErr w:type="gramStart"/>
      <w:r w:rsidR="003F54A4" w:rsidRPr="007E1FDF">
        <w:rPr>
          <w:sz w:val="24"/>
        </w:rPr>
        <w:t>as a result of</w:t>
      </w:r>
      <w:proofErr w:type="gramEnd"/>
      <w:r w:rsidR="003F54A4" w:rsidRPr="007E1FDF">
        <w:rPr>
          <w:sz w:val="24"/>
        </w:rPr>
        <w:t xml:space="preserve"> the final recommendations</w:t>
      </w:r>
      <w:r w:rsidR="007E1FDF">
        <w:rPr>
          <w:sz w:val="24"/>
        </w:rPr>
        <w:t>.</w:t>
      </w:r>
    </w:p>
    <w:p w14:paraId="4AC40E70" w14:textId="77777777" w:rsidR="002E7FD4" w:rsidRPr="007E1FDF" w:rsidRDefault="002E7FD4" w:rsidP="002E7FD4">
      <w:pPr>
        <w:pStyle w:val="ListParagraph"/>
        <w:spacing w:after="120"/>
        <w:ind w:left="426" w:right="45"/>
        <w:jc w:val="both"/>
        <w:rPr>
          <w:rFonts w:cs="Arial"/>
          <w:b/>
          <w:sz w:val="24"/>
        </w:rPr>
      </w:pPr>
    </w:p>
    <w:p w14:paraId="7661375B" w14:textId="73DD58E0" w:rsidR="00D34666" w:rsidRPr="007E1FDF" w:rsidRDefault="00D34666" w:rsidP="002E7FD4">
      <w:pPr>
        <w:pStyle w:val="ListParagraph"/>
        <w:numPr>
          <w:ilvl w:val="1"/>
          <w:numId w:val="16"/>
        </w:numPr>
        <w:spacing w:after="120"/>
        <w:ind w:left="567" w:right="45" w:hanging="567"/>
        <w:jc w:val="both"/>
        <w:rPr>
          <w:rFonts w:cs="Arial"/>
          <w:b/>
          <w:sz w:val="24"/>
        </w:rPr>
      </w:pPr>
      <w:r w:rsidRPr="007E1FDF">
        <w:rPr>
          <w:rFonts w:cs="Arial"/>
          <w:b/>
          <w:sz w:val="24"/>
        </w:rPr>
        <w:t>Environmental Implications</w:t>
      </w:r>
    </w:p>
    <w:p w14:paraId="4B7AD99F" w14:textId="593BB33D" w:rsidR="00D34666" w:rsidRPr="007E1FDF" w:rsidRDefault="001F721F" w:rsidP="007E1FDF">
      <w:pPr>
        <w:pStyle w:val="ListParagraph"/>
        <w:spacing w:after="120"/>
        <w:ind w:left="567" w:right="45"/>
        <w:jc w:val="both"/>
        <w:rPr>
          <w:rFonts w:cs="Arial"/>
          <w:b/>
          <w:sz w:val="24"/>
        </w:rPr>
      </w:pPr>
      <w:r w:rsidRPr="007E1FDF">
        <w:rPr>
          <w:sz w:val="24"/>
        </w:rPr>
        <w:t>There are no significant implications within this category</w:t>
      </w:r>
      <w:r w:rsidR="0075060E">
        <w:rPr>
          <w:sz w:val="24"/>
        </w:rPr>
        <w:t>.</w:t>
      </w:r>
    </w:p>
    <w:p w14:paraId="42FB7ACF" w14:textId="77777777" w:rsidR="00D34666" w:rsidRPr="00057B69" w:rsidRDefault="00D34666" w:rsidP="00D34666"/>
    <w:p w14:paraId="44A32D11" w14:textId="77777777" w:rsidR="00D34666" w:rsidRPr="00057B69" w:rsidRDefault="00D34666" w:rsidP="00D34666">
      <w:pPr>
        <w:spacing w:after="120"/>
        <w:ind w:left="709" w:right="45"/>
        <w:jc w:val="both"/>
        <w:outlineLvl w:val="8"/>
        <w:rPr>
          <w:rFonts w:cs="Arial"/>
          <w:b/>
          <w:iCs/>
          <w:color w:val="0070C0"/>
          <w:sz w:val="24"/>
        </w:rPr>
      </w:pPr>
    </w:p>
    <w:p w14:paraId="525BB202" w14:textId="09385288" w:rsidR="000819E6" w:rsidRDefault="000819E6" w:rsidP="00D34666">
      <w:pPr>
        <w:spacing w:after="200" w:line="360" w:lineRule="auto"/>
        <w:jc w:val="both"/>
        <w:rPr>
          <w:sz w:val="24"/>
        </w:rPr>
      </w:pPr>
    </w:p>
    <w:sectPr w:rsidR="000819E6" w:rsidSect="005B5972">
      <w:footerReference w:type="default" r:id="rId11"/>
      <w:pgSz w:w="11906" w:h="16838"/>
      <w:pgMar w:top="851" w:right="849" w:bottom="993" w:left="113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0549" w14:textId="77777777" w:rsidR="00386B19" w:rsidRDefault="00386B19" w:rsidP="00DF4ACA">
      <w:r>
        <w:separator/>
      </w:r>
    </w:p>
  </w:endnote>
  <w:endnote w:type="continuationSeparator" w:id="0">
    <w:p w14:paraId="6779BC66" w14:textId="77777777" w:rsidR="00386B19" w:rsidRDefault="00386B19" w:rsidP="00DF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Look w:val="04A0" w:firstRow="1" w:lastRow="0" w:firstColumn="1" w:lastColumn="0" w:noHBand="0" w:noVBand="1"/>
    </w:tblPr>
    <w:tblGrid>
      <w:gridCol w:w="4361"/>
      <w:gridCol w:w="5562"/>
    </w:tblGrid>
    <w:tr w:rsidR="001B38EB" w14:paraId="019FFCD9" w14:textId="77777777" w:rsidTr="005777D7">
      <w:tc>
        <w:tcPr>
          <w:tcW w:w="4361" w:type="dxa"/>
          <w:tcBorders>
            <w:top w:val="nil"/>
            <w:left w:val="nil"/>
            <w:bottom w:val="nil"/>
            <w:right w:val="nil"/>
          </w:tcBorders>
        </w:tcPr>
        <w:p w14:paraId="4306BCB7" w14:textId="77777777" w:rsidR="001B38EB" w:rsidRDefault="001B38EB" w:rsidP="005E552F">
          <w:pPr>
            <w:pStyle w:val="Footer"/>
            <w:rPr>
              <w:sz w:val="18"/>
              <w:szCs w:val="18"/>
            </w:rPr>
          </w:pPr>
          <w:r>
            <w:rPr>
              <w:sz w:val="18"/>
              <w:szCs w:val="18"/>
            </w:rPr>
            <w:t>Council</w:t>
          </w:r>
        </w:p>
        <w:p w14:paraId="74828BCC" w14:textId="7A31DF9B" w:rsidR="001B38EB" w:rsidRDefault="00FB6756" w:rsidP="005E552F">
          <w:pPr>
            <w:pStyle w:val="Footer"/>
            <w:rPr>
              <w:sz w:val="18"/>
              <w:szCs w:val="18"/>
            </w:rPr>
          </w:pPr>
          <w:r>
            <w:rPr>
              <w:sz w:val="18"/>
              <w:szCs w:val="18"/>
            </w:rPr>
            <w:t xml:space="preserve">Thursday, </w:t>
          </w:r>
          <w:r w:rsidR="00A44895">
            <w:rPr>
              <w:sz w:val="18"/>
              <w:szCs w:val="18"/>
            </w:rPr>
            <w:t>20 October 2022</w:t>
          </w:r>
        </w:p>
      </w:tc>
      <w:tc>
        <w:tcPr>
          <w:tcW w:w="5562" w:type="dxa"/>
          <w:tcBorders>
            <w:top w:val="nil"/>
            <w:left w:val="nil"/>
            <w:bottom w:val="nil"/>
            <w:right w:val="nil"/>
          </w:tcBorders>
        </w:tcPr>
        <w:p w14:paraId="5336EFFB" w14:textId="5ACD2D85" w:rsidR="001B38EB" w:rsidRDefault="001B38EB" w:rsidP="005E552F">
          <w:pPr>
            <w:pStyle w:val="Footer"/>
            <w:jc w:val="right"/>
            <w:rPr>
              <w:sz w:val="18"/>
              <w:szCs w:val="18"/>
            </w:rPr>
          </w:pPr>
          <w:r>
            <w:rPr>
              <w:sz w:val="18"/>
              <w:szCs w:val="18"/>
            </w:rPr>
            <w:t xml:space="preserve">Agenda Item </w:t>
          </w:r>
          <w:r w:rsidR="00F2096A">
            <w:rPr>
              <w:sz w:val="18"/>
              <w:szCs w:val="18"/>
            </w:rPr>
            <w:t>1</w:t>
          </w:r>
          <w:r w:rsidR="002F11FC">
            <w:rPr>
              <w:sz w:val="18"/>
              <w:szCs w:val="18"/>
            </w:rPr>
            <w:t>4</w:t>
          </w:r>
        </w:p>
        <w:p w14:paraId="4F3A10B6" w14:textId="5C8AC867" w:rsidR="00A44895" w:rsidRDefault="00A44895" w:rsidP="005E552F">
          <w:pPr>
            <w:pStyle w:val="Footer"/>
            <w:jc w:val="right"/>
            <w:rPr>
              <w:sz w:val="18"/>
              <w:szCs w:val="18"/>
            </w:rPr>
          </w:pPr>
        </w:p>
      </w:tc>
    </w:tr>
  </w:tbl>
  <w:p w14:paraId="71B3C56E" w14:textId="77777777" w:rsidR="001B38EB" w:rsidRDefault="001B38EB" w:rsidP="005E5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F57A" w14:textId="77777777" w:rsidR="00386B19" w:rsidRDefault="00386B19" w:rsidP="00DF4ACA">
      <w:r>
        <w:separator/>
      </w:r>
    </w:p>
  </w:footnote>
  <w:footnote w:type="continuationSeparator" w:id="0">
    <w:p w14:paraId="7AF5769E" w14:textId="77777777" w:rsidR="00386B19" w:rsidRDefault="00386B19" w:rsidP="00DF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9D3"/>
    <w:multiLevelType w:val="multilevel"/>
    <w:tmpl w:val="B406DA90"/>
    <w:lvl w:ilvl="0">
      <w:start w:val="1"/>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684202"/>
    <w:multiLevelType w:val="hybridMultilevel"/>
    <w:tmpl w:val="0D78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C61F7"/>
    <w:multiLevelType w:val="multilevel"/>
    <w:tmpl w:val="288A79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3E1356"/>
    <w:multiLevelType w:val="hybridMultilevel"/>
    <w:tmpl w:val="ED3CAD4C"/>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4" w15:restartNumberingAfterBreak="0">
    <w:nsid w:val="1DA61E41"/>
    <w:multiLevelType w:val="multilevel"/>
    <w:tmpl w:val="33BC38C0"/>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4F6906"/>
    <w:multiLevelType w:val="hybridMultilevel"/>
    <w:tmpl w:val="0A1C1D52"/>
    <w:lvl w:ilvl="0" w:tplc="D7B868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F2398F"/>
    <w:multiLevelType w:val="hybridMultilevel"/>
    <w:tmpl w:val="ECA4E238"/>
    <w:lvl w:ilvl="0" w:tplc="9142F8D6">
      <w:start w:val="1"/>
      <w:numFmt w:val="decimal"/>
      <w:lvlText w:val="%1."/>
      <w:lvlJc w:val="left"/>
      <w:pPr>
        <w:ind w:left="536" w:hanging="36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7" w15:restartNumberingAfterBreak="0">
    <w:nsid w:val="2D0F61D8"/>
    <w:multiLevelType w:val="hybridMultilevel"/>
    <w:tmpl w:val="274630E0"/>
    <w:lvl w:ilvl="0" w:tplc="63EA6DD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B544C"/>
    <w:multiLevelType w:val="multilevel"/>
    <w:tmpl w:val="27D8EC06"/>
    <w:lvl w:ilvl="0">
      <w:start w:val="1"/>
      <w:numFmt w:val="decimal"/>
      <w:lvlText w:val="%1."/>
      <w:lvlJc w:val="left"/>
      <w:pPr>
        <w:ind w:left="896" w:hanging="360"/>
      </w:pPr>
    </w:lvl>
    <w:lvl w:ilvl="1">
      <w:start w:val="1"/>
      <w:numFmt w:val="decimal"/>
      <w:isLgl/>
      <w:lvlText w:val="%1.%2"/>
      <w:lvlJc w:val="left"/>
      <w:pPr>
        <w:ind w:left="1106" w:hanging="570"/>
      </w:pPr>
      <w:rPr>
        <w:rFonts w:hint="default"/>
      </w:rPr>
    </w:lvl>
    <w:lvl w:ilvl="2">
      <w:start w:val="1"/>
      <w:numFmt w:val="decimal"/>
      <w:isLgl/>
      <w:lvlText w:val="%1.%2.%3"/>
      <w:lvlJc w:val="left"/>
      <w:pPr>
        <w:ind w:left="1256" w:hanging="720"/>
      </w:pPr>
      <w:rPr>
        <w:rFonts w:hint="default"/>
      </w:rPr>
    </w:lvl>
    <w:lvl w:ilvl="3">
      <w:start w:val="1"/>
      <w:numFmt w:val="decimal"/>
      <w:isLgl/>
      <w:lvlText w:val="%1.%2.%3.%4"/>
      <w:lvlJc w:val="left"/>
      <w:pPr>
        <w:ind w:left="1616" w:hanging="1080"/>
      </w:pPr>
      <w:rPr>
        <w:rFonts w:hint="default"/>
      </w:rPr>
    </w:lvl>
    <w:lvl w:ilvl="4">
      <w:start w:val="1"/>
      <w:numFmt w:val="decimal"/>
      <w:isLgl/>
      <w:lvlText w:val="%1.%2.%3.%4.%5"/>
      <w:lvlJc w:val="left"/>
      <w:pPr>
        <w:ind w:left="1616" w:hanging="1080"/>
      </w:pPr>
      <w:rPr>
        <w:rFonts w:hint="default"/>
      </w:rPr>
    </w:lvl>
    <w:lvl w:ilvl="5">
      <w:start w:val="1"/>
      <w:numFmt w:val="decimal"/>
      <w:isLgl/>
      <w:lvlText w:val="%1.%2.%3.%4.%5.%6"/>
      <w:lvlJc w:val="left"/>
      <w:pPr>
        <w:ind w:left="1976" w:hanging="1440"/>
      </w:pPr>
      <w:rPr>
        <w:rFonts w:hint="default"/>
      </w:rPr>
    </w:lvl>
    <w:lvl w:ilvl="6">
      <w:start w:val="1"/>
      <w:numFmt w:val="decimal"/>
      <w:isLgl/>
      <w:lvlText w:val="%1.%2.%3.%4.%5.%6.%7"/>
      <w:lvlJc w:val="left"/>
      <w:pPr>
        <w:ind w:left="1976" w:hanging="1440"/>
      </w:pPr>
      <w:rPr>
        <w:rFonts w:hint="default"/>
      </w:rPr>
    </w:lvl>
    <w:lvl w:ilvl="7">
      <w:start w:val="1"/>
      <w:numFmt w:val="decimal"/>
      <w:isLgl/>
      <w:lvlText w:val="%1.%2.%3.%4.%5.%6.%7.%8"/>
      <w:lvlJc w:val="left"/>
      <w:pPr>
        <w:ind w:left="2336" w:hanging="1800"/>
      </w:pPr>
      <w:rPr>
        <w:rFonts w:hint="default"/>
      </w:rPr>
    </w:lvl>
    <w:lvl w:ilvl="8">
      <w:start w:val="1"/>
      <w:numFmt w:val="decimal"/>
      <w:isLgl/>
      <w:lvlText w:val="%1.%2.%3.%4.%5.%6.%7.%8.%9"/>
      <w:lvlJc w:val="left"/>
      <w:pPr>
        <w:ind w:left="2336" w:hanging="1800"/>
      </w:pPr>
      <w:rPr>
        <w:rFonts w:hint="default"/>
      </w:rPr>
    </w:lvl>
  </w:abstractNum>
  <w:abstractNum w:abstractNumId="9" w15:restartNumberingAfterBreak="0">
    <w:nsid w:val="2ED26FDD"/>
    <w:multiLevelType w:val="multilevel"/>
    <w:tmpl w:val="02A862DE"/>
    <w:lvl w:ilvl="0">
      <w:start w:val="5"/>
      <w:numFmt w:val="decimal"/>
      <w:lvlText w:val="%1."/>
      <w:lvlJc w:val="left"/>
      <w:pPr>
        <w:ind w:left="720" w:hanging="720"/>
      </w:pPr>
      <w:rPr>
        <w:rFonts w:ascii="Arial" w:hAnsi="Arial" w:hint="default"/>
        <w:b/>
        <w:i w:val="0"/>
        <w:sz w:val="24"/>
      </w:rPr>
    </w:lvl>
    <w:lvl w:ilvl="1">
      <w:start w:val="1"/>
      <w:numFmt w:val="decimal"/>
      <w:isLgl/>
      <w:lvlText w:val="%1.%2"/>
      <w:lvlJc w:val="left"/>
      <w:pPr>
        <w:ind w:left="720" w:hanging="720"/>
      </w:pPr>
      <w:rPr>
        <w:rFonts w:ascii="Arial" w:hAnsi="Arial" w:hint="default"/>
        <w:b w:val="0"/>
        <w:bCs w:val="0"/>
        <w:i w:val="0"/>
        <w:sz w:val="24"/>
      </w:rPr>
    </w:lvl>
    <w:lvl w:ilvl="2">
      <w:start w:val="1"/>
      <w:numFmt w:val="decimal"/>
      <w:isLgl/>
      <w:lvlText w:val="%1.%2.%3"/>
      <w:lvlJc w:val="left"/>
      <w:pPr>
        <w:ind w:left="720" w:hanging="720"/>
      </w:pPr>
      <w:rPr>
        <w:rFonts w:ascii="Arial" w:hAnsi="Arial" w:hint="default"/>
        <w:b w:val="0"/>
        <w:i w:val="0"/>
        <w:sz w:val="24"/>
      </w:rPr>
    </w:lvl>
    <w:lvl w:ilvl="3">
      <w:start w:val="1"/>
      <w:numFmt w:val="decimal"/>
      <w:isLgl/>
      <w:lvlText w:val="%1.%2.%3.%4"/>
      <w:lvlJc w:val="left"/>
      <w:pPr>
        <w:ind w:left="720" w:hanging="720"/>
      </w:pPr>
      <w:rPr>
        <w:rFonts w:ascii="Arial" w:hAnsi="Arial" w:hint="default"/>
        <w:b w:val="0"/>
        <w:i w:val="0"/>
        <w:sz w:val="24"/>
      </w:rPr>
    </w:lvl>
    <w:lvl w:ilvl="4">
      <w:start w:val="1"/>
      <w:numFmt w:val="decimal"/>
      <w:isLgl/>
      <w:lvlText w:val="%1.%2.%3.%4.%5"/>
      <w:lvlJc w:val="left"/>
      <w:pPr>
        <w:ind w:left="720" w:hanging="720"/>
      </w:pPr>
      <w:rPr>
        <w:rFonts w:ascii="Arial" w:hAnsi="Arial" w:hint="default"/>
        <w:b w:val="0"/>
        <w:i w:val="0"/>
        <w:sz w:val="24"/>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10" w15:restartNumberingAfterBreak="0">
    <w:nsid w:val="38F42071"/>
    <w:multiLevelType w:val="multilevel"/>
    <w:tmpl w:val="8B0495D6"/>
    <w:lvl w:ilvl="0">
      <w:start w:val="1"/>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88172A"/>
    <w:multiLevelType w:val="hybridMultilevel"/>
    <w:tmpl w:val="ACFC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3499E"/>
    <w:multiLevelType w:val="hybridMultilevel"/>
    <w:tmpl w:val="12186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3602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372317"/>
    <w:multiLevelType w:val="hybridMultilevel"/>
    <w:tmpl w:val="EC400744"/>
    <w:lvl w:ilvl="0" w:tplc="F44477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824C9"/>
    <w:multiLevelType w:val="multilevel"/>
    <w:tmpl w:val="D3AE4462"/>
    <w:lvl w:ilvl="0">
      <w:start w:val="1"/>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674152E"/>
    <w:multiLevelType w:val="hybridMultilevel"/>
    <w:tmpl w:val="75FC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760305">
    <w:abstractNumId w:val="4"/>
  </w:num>
  <w:num w:numId="2" w16cid:durableId="250089759">
    <w:abstractNumId w:val="14"/>
  </w:num>
  <w:num w:numId="3" w16cid:durableId="87969111">
    <w:abstractNumId w:val="7"/>
  </w:num>
  <w:num w:numId="4" w16cid:durableId="567500144">
    <w:abstractNumId w:val="5"/>
  </w:num>
  <w:num w:numId="5" w16cid:durableId="114250091">
    <w:abstractNumId w:val="12"/>
  </w:num>
  <w:num w:numId="6" w16cid:durableId="628706991">
    <w:abstractNumId w:val="10"/>
  </w:num>
  <w:num w:numId="7" w16cid:durableId="1847935098">
    <w:abstractNumId w:val="0"/>
  </w:num>
  <w:num w:numId="8" w16cid:durableId="1586452700">
    <w:abstractNumId w:val="15"/>
  </w:num>
  <w:num w:numId="9" w16cid:durableId="1100952452">
    <w:abstractNumId w:val="11"/>
  </w:num>
  <w:num w:numId="10" w16cid:durableId="456337958">
    <w:abstractNumId w:val="1"/>
  </w:num>
  <w:num w:numId="11" w16cid:durableId="499395084">
    <w:abstractNumId w:val="13"/>
  </w:num>
  <w:num w:numId="12" w16cid:durableId="1736009994">
    <w:abstractNumId w:val="8"/>
  </w:num>
  <w:num w:numId="13" w16cid:durableId="501047501">
    <w:abstractNumId w:val="6"/>
  </w:num>
  <w:num w:numId="14" w16cid:durableId="2021001462">
    <w:abstractNumId w:val="3"/>
  </w:num>
  <w:num w:numId="15" w16cid:durableId="350031978">
    <w:abstractNumId w:val="16"/>
  </w:num>
  <w:num w:numId="16" w16cid:durableId="210650215">
    <w:abstractNumId w:val="9"/>
  </w:num>
  <w:num w:numId="17" w16cid:durableId="2028406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54"/>
    <w:rsid w:val="000052CD"/>
    <w:rsid w:val="00011D78"/>
    <w:rsid w:val="00030058"/>
    <w:rsid w:val="0005314C"/>
    <w:rsid w:val="00054A6D"/>
    <w:rsid w:val="000559BE"/>
    <w:rsid w:val="00063804"/>
    <w:rsid w:val="000819E6"/>
    <w:rsid w:val="000839E6"/>
    <w:rsid w:val="000A2875"/>
    <w:rsid w:val="000D2C9C"/>
    <w:rsid w:val="000D2DB6"/>
    <w:rsid w:val="000F237D"/>
    <w:rsid w:val="000F78FB"/>
    <w:rsid w:val="00104543"/>
    <w:rsid w:val="00124A2B"/>
    <w:rsid w:val="0012595D"/>
    <w:rsid w:val="00145789"/>
    <w:rsid w:val="001A489E"/>
    <w:rsid w:val="001B03C2"/>
    <w:rsid w:val="001B38EB"/>
    <w:rsid w:val="001C7A1B"/>
    <w:rsid w:val="001D2F0E"/>
    <w:rsid w:val="001D65C8"/>
    <w:rsid w:val="001F0005"/>
    <w:rsid w:val="001F721F"/>
    <w:rsid w:val="00214240"/>
    <w:rsid w:val="00227EB6"/>
    <w:rsid w:val="002A73C0"/>
    <w:rsid w:val="002B1535"/>
    <w:rsid w:val="002B1BAD"/>
    <w:rsid w:val="002B6470"/>
    <w:rsid w:val="002C1583"/>
    <w:rsid w:val="002C4631"/>
    <w:rsid w:val="002C7913"/>
    <w:rsid w:val="002E5ABE"/>
    <w:rsid w:val="002E7FD4"/>
    <w:rsid w:val="002F11FC"/>
    <w:rsid w:val="00305DCB"/>
    <w:rsid w:val="00331C1B"/>
    <w:rsid w:val="00360DCD"/>
    <w:rsid w:val="00385BCC"/>
    <w:rsid w:val="00386B19"/>
    <w:rsid w:val="003A2856"/>
    <w:rsid w:val="003B6076"/>
    <w:rsid w:val="003C5CA1"/>
    <w:rsid w:val="003C6C08"/>
    <w:rsid w:val="003E1382"/>
    <w:rsid w:val="003E194C"/>
    <w:rsid w:val="003E3ACB"/>
    <w:rsid w:val="003F0C3F"/>
    <w:rsid w:val="003F54A4"/>
    <w:rsid w:val="00443198"/>
    <w:rsid w:val="00471A59"/>
    <w:rsid w:val="00480415"/>
    <w:rsid w:val="004841B2"/>
    <w:rsid w:val="00484DDB"/>
    <w:rsid w:val="004C1B36"/>
    <w:rsid w:val="004C796D"/>
    <w:rsid w:val="004D0E45"/>
    <w:rsid w:val="004D48B5"/>
    <w:rsid w:val="004E1B05"/>
    <w:rsid w:val="004E48AF"/>
    <w:rsid w:val="005106F7"/>
    <w:rsid w:val="00531EF3"/>
    <w:rsid w:val="00534F65"/>
    <w:rsid w:val="00542152"/>
    <w:rsid w:val="0054320F"/>
    <w:rsid w:val="0056237E"/>
    <w:rsid w:val="00576E43"/>
    <w:rsid w:val="005777D7"/>
    <w:rsid w:val="005801F7"/>
    <w:rsid w:val="00582154"/>
    <w:rsid w:val="005B4A93"/>
    <w:rsid w:val="005B5972"/>
    <w:rsid w:val="005C420E"/>
    <w:rsid w:val="005D2901"/>
    <w:rsid w:val="005E552F"/>
    <w:rsid w:val="005F125D"/>
    <w:rsid w:val="00603748"/>
    <w:rsid w:val="0063164C"/>
    <w:rsid w:val="0064573B"/>
    <w:rsid w:val="00692162"/>
    <w:rsid w:val="006A719F"/>
    <w:rsid w:val="006C1A2B"/>
    <w:rsid w:val="006D7929"/>
    <w:rsid w:val="007004AE"/>
    <w:rsid w:val="0071250D"/>
    <w:rsid w:val="00721CE4"/>
    <w:rsid w:val="00725E0B"/>
    <w:rsid w:val="00732105"/>
    <w:rsid w:val="0075060E"/>
    <w:rsid w:val="00761CE4"/>
    <w:rsid w:val="00765B65"/>
    <w:rsid w:val="00771E16"/>
    <w:rsid w:val="00774351"/>
    <w:rsid w:val="00794C54"/>
    <w:rsid w:val="007A13B1"/>
    <w:rsid w:val="007A2E96"/>
    <w:rsid w:val="007B62D5"/>
    <w:rsid w:val="007D095E"/>
    <w:rsid w:val="007E18E5"/>
    <w:rsid w:val="007E1FDF"/>
    <w:rsid w:val="00805572"/>
    <w:rsid w:val="00817843"/>
    <w:rsid w:val="008264E6"/>
    <w:rsid w:val="008825A5"/>
    <w:rsid w:val="008B6A2F"/>
    <w:rsid w:val="008B70AA"/>
    <w:rsid w:val="008B7961"/>
    <w:rsid w:val="008C2FCB"/>
    <w:rsid w:val="008D2388"/>
    <w:rsid w:val="0091489F"/>
    <w:rsid w:val="00922CC6"/>
    <w:rsid w:val="009312F7"/>
    <w:rsid w:val="00941D84"/>
    <w:rsid w:val="00945159"/>
    <w:rsid w:val="00947C97"/>
    <w:rsid w:val="009505DB"/>
    <w:rsid w:val="009A0F68"/>
    <w:rsid w:val="009F0558"/>
    <w:rsid w:val="00A05983"/>
    <w:rsid w:val="00A05D12"/>
    <w:rsid w:val="00A1113D"/>
    <w:rsid w:val="00A24D94"/>
    <w:rsid w:val="00A26D2C"/>
    <w:rsid w:val="00A44895"/>
    <w:rsid w:val="00A5389C"/>
    <w:rsid w:val="00AA32E9"/>
    <w:rsid w:val="00AA5530"/>
    <w:rsid w:val="00AB0269"/>
    <w:rsid w:val="00AC36EC"/>
    <w:rsid w:val="00AF2111"/>
    <w:rsid w:val="00B052C2"/>
    <w:rsid w:val="00B06B4B"/>
    <w:rsid w:val="00B21836"/>
    <w:rsid w:val="00B563B3"/>
    <w:rsid w:val="00B864D4"/>
    <w:rsid w:val="00B933CD"/>
    <w:rsid w:val="00BB438D"/>
    <w:rsid w:val="00BB5B3E"/>
    <w:rsid w:val="00BD32FA"/>
    <w:rsid w:val="00BF222A"/>
    <w:rsid w:val="00C11C0C"/>
    <w:rsid w:val="00C300F0"/>
    <w:rsid w:val="00C67D63"/>
    <w:rsid w:val="00C82B82"/>
    <w:rsid w:val="00C85BF1"/>
    <w:rsid w:val="00C902C1"/>
    <w:rsid w:val="00C9481B"/>
    <w:rsid w:val="00CA001F"/>
    <w:rsid w:val="00CB498D"/>
    <w:rsid w:val="00CB5FA9"/>
    <w:rsid w:val="00CB651A"/>
    <w:rsid w:val="00CC3581"/>
    <w:rsid w:val="00CE6EE9"/>
    <w:rsid w:val="00D1466F"/>
    <w:rsid w:val="00D34666"/>
    <w:rsid w:val="00D503A6"/>
    <w:rsid w:val="00D65561"/>
    <w:rsid w:val="00D756E4"/>
    <w:rsid w:val="00D82286"/>
    <w:rsid w:val="00D86FE9"/>
    <w:rsid w:val="00DA13D9"/>
    <w:rsid w:val="00DA39BF"/>
    <w:rsid w:val="00DE0483"/>
    <w:rsid w:val="00DF4ACA"/>
    <w:rsid w:val="00E239D2"/>
    <w:rsid w:val="00E34471"/>
    <w:rsid w:val="00E448CC"/>
    <w:rsid w:val="00E47930"/>
    <w:rsid w:val="00E47955"/>
    <w:rsid w:val="00E5046F"/>
    <w:rsid w:val="00E91D3B"/>
    <w:rsid w:val="00EB04C7"/>
    <w:rsid w:val="00ED5464"/>
    <w:rsid w:val="00F2096A"/>
    <w:rsid w:val="00F56D5B"/>
    <w:rsid w:val="00F56E12"/>
    <w:rsid w:val="00F5773C"/>
    <w:rsid w:val="00F83FD9"/>
    <w:rsid w:val="00F96F9A"/>
    <w:rsid w:val="00FB4D82"/>
    <w:rsid w:val="00FB6756"/>
    <w:rsid w:val="00FE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217C9"/>
  <w15:docId w15:val="{1A42154D-F504-408F-85CB-29A7C3F3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54"/>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794C54"/>
    <w:pPr>
      <w:keepNext/>
      <w:jc w:val="center"/>
      <w:outlineLvl w:val="0"/>
    </w:pPr>
    <w:rPr>
      <w:b/>
      <w:bCs/>
      <w:sz w:val="28"/>
      <w:szCs w:val="20"/>
    </w:rPr>
  </w:style>
  <w:style w:type="paragraph" w:styleId="Heading2">
    <w:name w:val="heading 2"/>
    <w:basedOn w:val="Normal"/>
    <w:next w:val="Normal"/>
    <w:link w:val="Heading2Char"/>
    <w:qFormat/>
    <w:rsid w:val="00794C54"/>
    <w:pPr>
      <w:keepNext/>
      <w:jc w:val="center"/>
      <w:outlineLvl w:val="1"/>
    </w:pPr>
    <w:rPr>
      <w:b/>
      <w:bCs/>
      <w:i/>
      <w:iCs/>
      <w:sz w:val="28"/>
      <w:szCs w:val="20"/>
    </w:rPr>
  </w:style>
  <w:style w:type="paragraph" w:styleId="Heading3">
    <w:name w:val="heading 3"/>
    <w:basedOn w:val="Normal"/>
    <w:next w:val="Normal"/>
    <w:link w:val="Heading3Char"/>
    <w:qFormat/>
    <w:rsid w:val="00794C54"/>
    <w:pPr>
      <w:keepNext/>
      <w:jc w:val="right"/>
      <w:outlineLvl w:val="2"/>
    </w:pPr>
    <w:rPr>
      <w:b/>
      <w:bCs/>
      <w:szCs w:val="20"/>
    </w:rPr>
  </w:style>
  <w:style w:type="paragraph" w:styleId="Heading4">
    <w:name w:val="heading 4"/>
    <w:basedOn w:val="Normal"/>
    <w:next w:val="Normal"/>
    <w:link w:val="Heading4Char"/>
    <w:qFormat/>
    <w:rsid w:val="00794C54"/>
    <w:pPr>
      <w:keepNext/>
      <w:outlineLvl w:val="3"/>
    </w:pPr>
    <w:rPr>
      <w:b/>
      <w:bCs/>
      <w:szCs w:val="20"/>
    </w:rPr>
  </w:style>
  <w:style w:type="paragraph" w:styleId="Heading9">
    <w:name w:val="heading 9"/>
    <w:basedOn w:val="Normal"/>
    <w:next w:val="Normal"/>
    <w:link w:val="Heading9Char"/>
    <w:uiPriority w:val="9"/>
    <w:semiHidden/>
    <w:unhideWhenUsed/>
    <w:qFormat/>
    <w:rsid w:val="00D3466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4C54"/>
    <w:rPr>
      <w:rFonts w:ascii="Arial" w:eastAsia="Times New Roman" w:hAnsi="Arial" w:cs="Times New Roman"/>
      <w:b/>
      <w:bCs/>
      <w:sz w:val="28"/>
      <w:szCs w:val="20"/>
    </w:rPr>
  </w:style>
  <w:style w:type="character" w:customStyle="1" w:styleId="Heading2Char">
    <w:name w:val="Heading 2 Char"/>
    <w:basedOn w:val="DefaultParagraphFont"/>
    <w:link w:val="Heading2"/>
    <w:rsid w:val="00794C54"/>
    <w:rPr>
      <w:rFonts w:ascii="Arial" w:eastAsia="Times New Roman" w:hAnsi="Arial" w:cs="Times New Roman"/>
      <w:b/>
      <w:bCs/>
      <w:i/>
      <w:iCs/>
      <w:sz w:val="28"/>
      <w:szCs w:val="20"/>
    </w:rPr>
  </w:style>
  <w:style w:type="character" w:customStyle="1" w:styleId="Heading3Char">
    <w:name w:val="Heading 3 Char"/>
    <w:basedOn w:val="DefaultParagraphFont"/>
    <w:link w:val="Heading3"/>
    <w:rsid w:val="00794C54"/>
    <w:rPr>
      <w:rFonts w:ascii="Arial" w:eastAsia="Times New Roman" w:hAnsi="Arial" w:cs="Times New Roman"/>
      <w:b/>
      <w:bCs/>
      <w:szCs w:val="20"/>
    </w:rPr>
  </w:style>
  <w:style w:type="character" w:customStyle="1" w:styleId="Heading4Char">
    <w:name w:val="Heading 4 Char"/>
    <w:basedOn w:val="DefaultParagraphFont"/>
    <w:link w:val="Heading4"/>
    <w:rsid w:val="00794C54"/>
    <w:rPr>
      <w:rFonts w:ascii="Arial" w:eastAsia="Times New Roman" w:hAnsi="Arial" w:cs="Times New Roman"/>
      <w:b/>
      <w:bCs/>
      <w:szCs w:val="20"/>
    </w:rPr>
  </w:style>
  <w:style w:type="paragraph" w:styleId="Footer">
    <w:name w:val="footer"/>
    <w:basedOn w:val="Normal"/>
    <w:link w:val="FooterChar"/>
    <w:rsid w:val="00794C54"/>
    <w:pPr>
      <w:tabs>
        <w:tab w:val="center" w:pos="4153"/>
        <w:tab w:val="right" w:pos="8306"/>
      </w:tabs>
    </w:pPr>
  </w:style>
  <w:style w:type="character" w:customStyle="1" w:styleId="FooterChar">
    <w:name w:val="Footer Char"/>
    <w:basedOn w:val="DefaultParagraphFont"/>
    <w:link w:val="Footer"/>
    <w:rsid w:val="00794C54"/>
    <w:rPr>
      <w:rFonts w:ascii="Arial" w:eastAsia="Times New Roman" w:hAnsi="Arial" w:cs="Times New Roman"/>
      <w:szCs w:val="24"/>
    </w:rPr>
  </w:style>
  <w:style w:type="table" w:styleId="TableGrid">
    <w:name w:val="Table Grid"/>
    <w:basedOn w:val="TableNormal"/>
    <w:uiPriority w:val="59"/>
    <w:rsid w:val="00794C5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Foot,FooterText,List Paragraph1,Paragraphe de liste1,numbered"/>
    <w:basedOn w:val="Normal"/>
    <w:link w:val="ListParagraphChar"/>
    <w:uiPriority w:val="34"/>
    <w:qFormat/>
    <w:rsid w:val="00794C54"/>
    <w:pPr>
      <w:ind w:left="720"/>
      <w:contextualSpacing/>
    </w:pPr>
  </w:style>
  <w:style w:type="paragraph" w:styleId="Header">
    <w:name w:val="header"/>
    <w:basedOn w:val="Normal"/>
    <w:link w:val="HeaderChar"/>
    <w:uiPriority w:val="99"/>
    <w:unhideWhenUsed/>
    <w:rsid w:val="005E552F"/>
    <w:pPr>
      <w:tabs>
        <w:tab w:val="center" w:pos="4513"/>
        <w:tab w:val="right" w:pos="9026"/>
      </w:tabs>
    </w:pPr>
  </w:style>
  <w:style w:type="character" w:customStyle="1" w:styleId="HeaderChar">
    <w:name w:val="Header Char"/>
    <w:basedOn w:val="DefaultParagraphFont"/>
    <w:link w:val="Header"/>
    <w:uiPriority w:val="99"/>
    <w:rsid w:val="005E552F"/>
    <w:rPr>
      <w:rFonts w:ascii="Arial" w:eastAsia="Times New Roman" w:hAnsi="Arial" w:cs="Times New Roman"/>
      <w:szCs w:val="24"/>
    </w:rPr>
  </w:style>
  <w:style w:type="character" w:styleId="Hyperlink">
    <w:name w:val="Hyperlink"/>
    <w:basedOn w:val="DefaultParagraphFont"/>
    <w:uiPriority w:val="99"/>
    <w:unhideWhenUsed/>
    <w:rsid w:val="000F78FB"/>
    <w:rPr>
      <w:color w:val="0000FF" w:themeColor="hyperlink"/>
      <w:u w:val="single"/>
    </w:rPr>
  </w:style>
  <w:style w:type="character" w:styleId="UnresolvedMention">
    <w:name w:val="Unresolved Mention"/>
    <w:basedOn w:val="DefaultParagraphFont"/>
    <w:uiPriority w:val="99"/>
    <w:semiHidden/>
    <w:unhideWhenUsed/>
    <w:rsid w:val="00305DCB"/>
    <w:rPr>
      <w:color w:val="605E5C"/>
      <w:shd w:val="clear" w:color="auto" w:fill="E1DFDD"/>
    </w:rPr>
  </w:style>
  <w:style w:type="character" w:customStyle="1" w:styleId="Heading9Char">
    <w:name w:val="Heading 9 Char"/>
    <w:basedOn w:val="DefaultParagraphFont"/>
    <w:link w:val="Heading9"/>
    <w:uiPriority w:val="9"/>
    <w:semiHidden/>
    <w:rsid w:val="00D34666"/>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indented) Char,Foot Char,FooterText Char,List Paragraph1 Char,Paragraphe de liste1 Char,numbered Char"/>
    <w:basedOn w:val="DefaultParagraphFont"/>
    <w:link w:val="ListParagraph"/>
    <w:uiPriority w:val="34"/>
    <w:locked/>
    <w:rsid w:val="00D34666"/>
    <w:rPr>
      <w:rFonts w:ascii="Arial" w:eastAsia="Times New Roman" w:hAnsi="Arial" w:cs="Times New Roman"/>
      <w:szCs w:val="24"/>
    </w:rPr>
  </w:style>
  <w:style w:type="paragraph" w:styleId="Revision">
    <w:name w:val="Revision"/>
    <w:hidden/>
    <w:uiPriority w:val="99"/>
    <w:semiHidden/>
    <w:rsid w:val="00484DDB"/>
    <w:pPr>
      <w:spacing w:after="0" w:line="240" w:lineRule="auto"/>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3E1382"/>
    <w:rPr>
      <w:sz w:val="16"/>
      <w:szCs w:val="16"/>
    </w:rPr>
  </w:style>
  <w:style w:type="paragraph" w:styleId="CommentText">
    <w:name w:val="annotation text"/>
    <w:basedOn w:val="Normal"/>
    <w:link w:val="CommentTextChar"/>
    <w:uiPriority w:val="99"/>
    <w:unhideWhenUsed/>
    <w:rsid w:val="003E1382"/>
    <w:rPr>
      <w:sz w:val="20"/>
      <w:szCs w:val="20"/>
    </w:rPr>
  </w:style>
  <w:style w:type="character" w:customStyle="1" w:styleId="CommentTextChar">
    <w:name w:val="Comment Text Char"/>
    <w:basedOn w:val="DefaultParagraphFont"/>
    <w:link w:val="CommentText"/>
    <w:uiPriority w:val="99"/>
    <w:rsid w:val="003E138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E1382"/>
    <w:rPr>
      <w:b/>
      <w:bCs/>
    </w:rPr>
  </w:style>
  <w:style w:type="character" w:customStyle="1" w:styleId="CommentSubjectChar">
    <w:name w:val="Comment Subject Char"/>
    <w:basedOn w:val="CommentTextChar"/>
    <w:link w:val="CommentSubject"/>
    <w:uiPriority w:val="99"/>
    <w:semiHidden/>
    <w:rsid w:val="003E138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0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h.emery@stroud.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nna.day@stroud.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egalservices@onelegal.org.uk" TargetMode="External"/><Relationship Id="rId4" Type="http://schemas.openxmlformats.org/officeDocument/2006/relationships/webSettings" Target="webSettings.xml"/><Relationship Id="rId9" Type="http://schemas.openxmlformats.org/officeDocument/2006/relationships/hyperlink" Target="mailto:andrew.cummings@strou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trickeyk</dc:creator>
  <cp:lastModifiedBy>Poole, Rebecca</cp:lastModifiedBy>
  <cp:revision>6</cp:revision>
  <cp:lastPrinted>2018-06-27T15:59:00Z</cp:lastPrinted>
  <dcterms:created xsi:type="dcterms:W3CDTF">2022-10-12T13:43:00Z</dcterms:created>
  <dcterms:modified xsi:type="dcterms:W3CDTF">2022-10-12T16:24:00Z</dcterms:modified>
</cp:coreProperties>
</file>