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5B98" w14:textId="77777777" w:rsidR="000B085D" w:rsidRPr="000B085D" w:rsidRDefault="000B085D" w:rsidP="000B085D">
      <w:pPr>
        <w:spacing w:before="100" w:beforeAutospacing="1" w:after="100" w:afterAutospacing="1" w:line="240" w:lineRule="auto"/>
        <w:outlineLvl w:val="1"/>
        <w:rPr>
          <w:rFonts w:ascii="Arial" w:eastAsia="Times New Roman" w:hAnsi="Arial" w:cs="Arial"/>
          <w:b/>
          <w:bCs/>
          <w:color w:val="000000"/>
          <w:sz w:val="32"/>
          <w:szCs w:val="32"/>
          <w:lang w:eastAsia="en-GB"/>
        </w:rPr>
      </w:pPr>
      <w:r w:rsidRPr="000B085D">
        <w:rPr>
          <w:rFonts w:ascii="Arial" w:eastAsia="Times New Roman" w:hAnsi="Arial" w:cs="Arial"/>
          <w:b/>
          <w:bCs/>
          <w:color w:val="000000"/>
          <w:sz w:val="32"/>
          <w:szCs w:val="32"/>
          <w:lang w:eastAsia="en-GB"/>
        </w:rPr>
        <w:t>Glossary of terms</w:t>
      </w:r>
    </w:p>
    <w:p w14:paraId="58ACC7F5" w14:textId="77777777" w:rsidR="000B085D" w:rsidRPr="000B085D" w:rsidRDefault="000B085D" w:rsidP="000B085D">
      <w:pPr>
        <w:spacing w:before="100" w:beforeAutospacing="1" w:after="100" w:afterAutospacing="1" w:line="240" w:lineRule="auto"/>
        <w:outlineLvl w:val="2"/>
        <w:rPr>
          <w:rFonts w:ascii="Arial" w:eastAsia="Times New Roman" w:hAnsi="Arial" w:cs="Arial"/>
          <w:b/>
          <w:bCs/>
          <w:color w:val="000000"/>
          <w:sz w:val="24"/>
          <w:szCs w:val="24"/>
          <w:lang w:eastAsia="en-GB"/>
        </w:rPr>
      </w:pPr>
      <w:r w:rsidRPr="000B085D">
        <w:rPr>
          <w:rFonts w:ascii="Arial" w:eastAsia="Times New Roman" w:hAnsi="Arial" w:cs="Arial"/>
          <w:b/>
          <w:bCs/>
          <w:color w:val="000000"/>
          <w:sz w:val="24"/>
          <w:szCs w:val="24"/>
          <w:lang w:eastAsia="en-GB"/>
        </w:rPr>
        <w:t>What role do parish councils perform?</w:t>
      </w:r>
    </w:p>
    <w:p w14:paraId="777FF7DD" w14:textId="2B80122F" w:rsidR="000B085D" w:rsidRPr="000B085D" w:rsidRDefault="000B085D" w:rsidP="000B085D">
      <w:pPr>
        <w:spacing w:before="100" w:beforeAutospacing="1" w:after="100" w:afterAutospacing="1" w:line="240" w:lineRule="auto"/>
        <w:rPr>
          <w:rFonts w:ascii="Arial" w:eastAsia="Times New Roman" w:hAnsi="Arial" w:cs="Arial"/>
          <w:color w:val="000000"/>
          <w:sz w:val="24"/>
          <w:szCs w:val="24"/>
          <w:lang w:eastAsia="en-GB"/>
        </w:rPr>
      </w:pPr>
      <w:r w:rsidRPr="000B085D">
        <w:rPr>
          <w:rFonts w:ascii="Arial" w:eastAsia="Times New Roman" w:hAnsi="Arial" w:cs="Arial"/>
          <w:color w:val="000000"/>
          <w:sz w:val="24"/>
          <w:szCs w:val="24"/>
          <w:lang w:eastAsia="en-GB"/>
        </w:rPr>
        <w:t xml:space="preserve">Parish </w:t>
      </w:r>
      <w:r w:rsidR="00687A7E">
        <w:rPr>
          <w:rFonts w:ascii="Arial" w:eastAsia="Times New Roman" w:hAnsi="Arial" w:cs="Arial"/>
          <w:color w:val="000000"/>
          <w:sz w:val="24"/>
          <w:szCs w:val="24"/>
          <w:lang w:eastAsia="en-GB"/>
        </w:rPr>
        <w:t>and Town C</w:t>
      </w:r>
      <w:r w:rsidRPr="000B085D">
        <w:rPr>
          <w:rFonts w:ascii="Arial" w:eastAsia="Times New Roman" w:hAnsi="Arial" w:cs="Arial"/>
          <w:color w:val="000000"/>
          <w:sz w:val="24"/>
          <w:szCs w:val="24"/>
          <w:lang w:eastAsia="en-GB"/>
        </w:rPr>
        <w:t xml:space="preserve">ouncils are the most local form of government. They collect money from Council Tax payers (via the district council) known as a "precept" and this is used to invest in the area to improve services or facilities. Parish </w:t>
      </w:r>
      <w:r w:rsidR="00687A7E">
        <w:rPr>
          <w:rFonts w:ascii="Arial" w:eastAsia="Times New Roman" w:hAnsi="Arial" w:cs="Arial"/>
          <w:color w:val="000000"/>
          <w:sz w:val="24"/>
          <w:szCs w:val="24"/>
          <w:lang w:eastAsia="en-GB"/>
        </w:rPr>
        <w:t>C</w:t>
      </w:r>
      <w:r w:rsidRPr="000B085D">
        <w:rPr>
          <w:rFonts w:ascii="Arial" w:eastAsia="Times New Roman" w:hAnsi="Arial" w:cs="Arial"/>
          <w:color w:val="000000"/>
          <w:sz w:val="24"/>
          <w:szCs w:val="24"/>
          <w:lang w:eastAsia="en-GB"/>
        </w:rPr>
        <w:t>ouncils can take different forms but usually are made up of local people who stand for election as parish councillors to represent their area. They can be the voice of the local community and work with other tiers of government and external organisations to co-ordinate and deliver services and work to improve the quality of life in the area.</w:t>
      </w:r>
    </w:p>
    <w:p w14:paraId="0354CEC7" w14:textId="77777777" w:rsidR="000B085D" w:rsidRPr="00000501" w:rsidRDefault="000B085D" w:rsidP="000B085D">
      <w:pPr>
        <w:pStyle w:val="Heading3"/>
        <w:rPr>
          <w:rFonts w:ascii="Arial" w:hAnsi="Arial" w:cs="Arial"/>
          <w:sz w:val="24"/>
          <w:szCs w:val="24"/>
        </w:rPr>
      </w:pPr>
      <w:r w:rsidRPr="00000501">
        <w:rPr>
          <w:rFonts w:ascii="Arial" w:hAnsi="Arial" w:cs="Arial"/>
          <w:sz w:val="24"/>
          <w:szCs w:val="24"/>
        </w:rPr>
        <w:t>What are grouped parishes?</w:t>
      </w:r>
    </w:p>
    <w:p w14:paraId="678D5493" w14:textId="77777777" w:rsidR="000B085D" w:rsidRPr="00000501" w:rsidRDefault="000B085D" w:rsidP="000B085D">
      <w:pPr>
        <w:pStyle w:val="NormalWeb"/>
        <w:rPr>
          <w:rFonts w:ascii="Arial" w:hAnsi="Arial" w:cs="Arial"/>
          <w:color w:val="000000"/>
        </w:rPr>
      </w:pPr>
      <w:r w:rsidRPr="00000501">
        <w:rPr>
          <w:rFonts w:ascii="Arial" w:hAnsi="Arial" w:cs="Arial"/>
          <w:color w:val="000000"/>
        </w:rPr>
        <w:t>It may best be considered as a working alliance of parishes that have come together under a common parish council, with the electors of each of the grouped parishes electing a designated number of councillors to the council. It has been found to be an effective way of ensuring parish government for small parishes that might otherwise be unviable as separate units, while otherwise guaranteeing their separate community identity.</w:t>
      </w:r>
    </w:p>
    <w:p w14:paraId="33F272A8" w14:textId="758C0D98" w:rsidR="000B085D" w:rsidRPr="00000501" w:rsidRDefault="000B085D" w:rsidP="000B085D">
      <w:pPr>
        <w:pStyle w:val="NormalWeb"/>
        <w:rPr>
          <w:rFonts w:ascii="Arial" w:hAnsi="Arial" w:cs="Arial"/>
          <w:color w:val="000000"/>
        </w:rPr>
      </w:pPr>
      <w:r w:rsidRPr="00000501">
        <w:rPr>
          <w:rFonts w:ascii="Arial" w:hAnsi="Arial" w:cs="Arial"/>
          <w:color w:val="000000"/>
        </w:rPr>
        <w:t xml:space="preserve">The </w:t>
      </w:r>
      <w:r w:rsidR="00687A7E">
        <w:rPr>
          <w:rFonts w:ascii="Arial" w:hAnsi="Arial" w:cs="Arial"/>
          <w:color w:val="000000"/>
        </w:rPr>
        <w:t>principal authority (Stroud District Council)</w:t>
      </w:r>
      <w:r w:rsidRPr="00000501">
        <w:rPr>
          <w:rFonts w:ascii="Arial" w:hAnsi="Arial" w:cs="Arial"/>
          <w:color w:val="000000"/>
        </w:rPr>
        <w:t xml:space="preserve"> recognises that the grouping of parishes needs to be compatible with the retention of community interests, and notes the government's guidance that "it would be inappropriate for it to be used to build artificially large units under single parish councils."A grouping order is permitted under </w:t>
      </w:r>
      <w:hyperlink r:id="rId5" w:history="1">
        <w:r w:rsidRPr="00000501">
          <w:rPr>
            <w:rStyle w:val="Hyperlink"/>
            <w:rFonts w:ascii="Arial" w:hAnsi="Arial" w:cs="Arial"/>
          </w:rPr>
          <w:t>Section 11 of the Local Government Act 1972</w:t>
        </w:r>
      </w:hyperlink>
      <w:r w:rsidRPr="00000501">
        <w:rPr>
          <w:rFonts w:ascii="Arial" w:hAnsi="Arial" w:cs="Arial"/>
          <w:color w:val="000000"/>
        </w:rPr>
        <w:t>.</w:t>
      </w:r>
    </w:p>
    <w:p w14:paraId="77256D0C" w14:textId="77777777" w:rsidR="000B085D" w:rsidRPr="00000501" w:rsidRDefault="000B085D" w:rsidP="000B085D">
      <w:pPr>
        <w:pStyle w:val="Heading3"/>
        <w:rPr>
          <w:rFonts w:ascii="Arial" w:hAnsi="Arial" w:cs="Arial"/>
          <w:sz w:val="24"/>
          <w:szCs w:val="24"/>
        </w:rPr>
      </w:pPr>
      <w:r w:rsidRPr="00000501">
        <w:rPr>
          <w:rFonts w:ascii="Arial" w:hAnsi="Arial" w:cs="Arial"/>
          <w:sz w:val="24"/>
          <w:szCs w:val="24"/>
        </w:rPr>
        <w:t>Parish warding</w:t>
      </w:r>
    </w:p>
    <w:p w14:paraId="71D55347" w14:textId="77777777" w:rsidR="000B085D" w:rsidRPr="00000501" w:rsidRDefault="000B085D" w:rsidP="000B085D">
      <w:pPr>
        <w:pStyle w:val="NormalWeb"/>
        <w:rPr>
          <w:rFonts w:ascii="Arial" w:hAnsi="Arial" w:cs="Arial"/>
          <w:color w:val="000000"/>
        </w:rPr>
      </w:pPr>
      <w:r w:rsidRPr="00000501">
        <w:rPr>
          <w:rFonts w:ascii="Arial" w:hAnsi="Arial" w:cs="Arial"/>
          <w:color w:val="000000"/>
        </w:rPr>
        <w:t>Parishes or towns can be divided into wards for the purpose of electing councillors. Again, this could depend upon the size and make up of a proposed council. The government guidance requires that consideration be given to the number of and distribution of local government electors which could make a single election of councillors impractical or inconvenient or it may be desirable for areas within the town or parish to be separately represented.</w:t>
      </w:r>
    </w:p>
    <w:p w14:paraId="1FE8B69E" w14:textId="77777777" w:rsidR="000B085D" w:rsidRPr="00000501" w:rsidRDefault="000B085D" w:rsidP="000B085D">
      <w:pPr>
        <w:pStyle w:val="NormalWeb"/>
        <w:rPr>
          <w:rFonts w:ascii="Arial" w:hAnsi="Arial" w:cs="Arial"/>
          <w:color w:val="000000"/>
        </w:rPr>
      </w:pPr>
      <w:r w:rsidRPr="00000501">
        <w:rPr>
          <w:rFonts w:ascii="Arial" w:hAnsi="Arial" w:cs="Arial"/>
          <w:color w:val="000000"/>
        </w:rPr>
        <w:t>The government's guidance is that "the warding of parishes in largely rural areas that are based predominantly on a single centrally-located village may not be justified. Conversely, warding may be appropriate where the parish encompasses a number of villages with separate identities, a village with a large rural hinterland or where, on the edges of towns, there has been some urban overspill into the parish."</w:t>
      </w:r>
    </w:p>
    <w:p w14:paraId="3DB28D90" w14:textId="77777777" w:rsidR="000B085D" w:rsidRPr="00000501" w:rsidRDefault="000B085D" w:rsidP="000B085D">
      <w:pPr>
        <w:pStyle w:val="Heading3"/>
        <w:rPr>
          <w:rFonts w:ascii="Arial" w:hAnsi="Arial" w:cs="Arial"/>
          <w:sz w:val="24"/>
          <w:szCs w:val="24"/>
        </w:rPr>
      </w:pPr>
      <w:r w:rsidRPr="00000501">
        <w:rPr>
          <w:rFonts w:ascii="Arial" w:hAnsi="Arial" w:cs="Arial"/>
          <w:sz w:val="24"/>
          <w:szCs w:val="24"/>
        </w:rPr>
        <w:t>What is a community governance order?</w:t>
      </w:r>
    </w:p>
    <w:p w14:paraId="05ED8FB4" w14:textId="77777777" w:rsidR="000B085D" w:rsidRPr="00000501" w:rsidRDefault="000B085D" w:rsidP="000B085D">
      <w:pPr>
        <w:pStyle w:val="NormalWeb"/>
        <w:rPr>
          <w:rFonts w:ascii="Arial" w:hAnsi="Arial" w:cs="Arial"/>
          <w:color w:val="000000"/>
        </w:rPr>
      </w:pPr>
      <w:r w:rsidRPr="00000501">
        <w:rPr>
          <w:rFonts w:ascii="Arial" w:hAnsi="Arial" w:cs="Arial"/>
          <w:color w:val="000000"/>
        </w:rPr>
        <w:t>The review will be completed when the council adopts a Reorganisation of Community Governance Order. The Order will specify when it will take effect for financial and administrative purposes and when the electoral arrangements for a new or existing parish council will come into force</w:t>
      </w:r>
    </w:p>
    <w:p w14:paraId="05AE9D53" w14:textId="77777777" w:rsidR="000B085D" w:rsidRPr="00000501" w:rsidRDefault="000B085D" w:rsidP="000B085D">
      <w:pPr>
        <w:pStyle w:val="NormalWeb"/>
        <w:rPr>
          <w:rFonts w:ascii="Arial" w:hAnsi="Arial" w:cs="Arial"/>
          <w:color w:val="000000"/>
        </w:rPr>
      </w:pPr>
      <w:r w:rsidRPr="00000501">
        <w:rPr>
          <w:rFonts w:ascii="Arial" w:hAnsi="Arial" w:cs="Arial"/>
          <w:color w:val="000000"/>
        </w:rPr>
        <w:t>Copies of this Order, the map(s) that show the effects of the order in detail, and the document(s) which set out the reasons for the decisions that the council has taken (including where it has decided to make no change following a review) will be deposited at the council's offices and website.</w:t>
      </w:r>
    </w:p>
    <w:p w14:paraId="16D61DB8" w14:textId="6224134F" w:rsidR="000B085D" w:rsidRPr="00000501" w:rsidRDefault="000B085D" w:rsidP="000B085D">
      <w:pPr>
        <w:pStyle w:val="NormalWeb"/>
        <w:rPr>
          <w:rFonts w:ascii="Arial" w:hAnsi="Arial" w:cs="Arial"/>
          <w:color w:val="000000"/>
        </w:rPr>
      </w:pPr>
      <w:r w:rsidRPr="00000501">
        <w:rPr>
          <w:rFonts w:ascii="Arial" w:hAnsi="Arial" w:cs="Arial"/>
          <w:color w:val="000000"/>
        </w:rPr>
        <w:t xml:space="preserve">In accordance with the guidance issued by the government, the </w:t>
      </w:r>
      <w:r w:rsidR="00687A7E">
        <w:rPr>
          <w:rFonts w:ascii="Arial" w:hAnsi="Arial" w:cs="Arial"/>
          <w:color w:val="000000"/>
        </w:rPr>
        <w:t>principal authroity</w:t>
      </w:r>
      <w:r w:rsidRPr="00000501">
        <w:rPr>
          <w:rFonts w:ascii="Arial" w:hAnsi="Arial" w:cs="Arial"/>
          <w:color w:val="000000"/>
        </w:rPr>
        <w:t xml:space="preserve"> will issue maps to illustrate each recommendation at a scale that will not normally be smaller than 1:10,000. These maps will be deposited with the Secretary of State at the Department of Communities and Local Government and at the council’s offices. Prints will also be supplied, in accordance with the </w:t>
      </w:r>
      <w:r w:rsidRPr="00000501">
        <w:rPr>
          <w:rFonts w:ascii="Arial" w:hAnsi="Arial" w:cs="Arial"/>
          <w:color w:val="000000"/>
        </w:rPr>
        <w:lastRenderedPageBreak/>
        <w:t>regulations, to Ordnance Survey, the Registrar General, the Land Registry, the Valuation Office Agency, the Boundary Commission for England and the Electoral Commission.</w:t>
      </w:r>
    </w:p>
    <w:p w14:paraId="2F3EE7E6" w14:textId="77777777" w:rsidR="00000501" w:rsidRPr="00000501" w:rsidRDefault="00000501" w:rsidP="00000501">
      <w:pPr>
        <w:spacing w:before="100" w:beforeAutospacing="1" w:after="100" w:afterAutospacing="1" w:line="240" w:lineRule="auto"/>
        <w:outlineLvl w:val="2"/>
        <w:rPr>
          <w:rFonts w:ascii="Arial" w:eastAsia="Times New Roman" w:hAnsi="Arial" w:cs="Arial"/>
          <w:b/>
          <w:bCs/>
          <w:color w:val="000000"/>
          <w:sz w:val="24"/>
          <w:szCs w:val="24"/>
          <w:lang w:eastAsia="en-GB"/>
        </w:rPr>
      </w:pPr>
      <w:r w:rsidRPr="00000501">
        <w:rPr>
          <w:rFonts w:ascii="Arial" w:eastAsia="Times New Roman" w:hAnsi="Arial" w:cs="Arial"/>
          <w:b/>
          <w:bCs/>
          <w:color w:val="000000"/>
          <w:sz w:val="24"/>
          <w:szCs w:val="24"/>
          <w:lang w:eastAsia="en-GB"/>
        </w:rPr>
        <w:t>What do "electoral arrangements" mean?</w:t>
      </w:r>
    </w:p>
    <w:p w14:paraId="1B53240B" w14:textId="77777777" w:rsidR="00000501" w:rsidRPr="00000501" w:rsidRDefault="00000501" w:rsidP="00000501">
      <w:pPr>
        <w:spacing w:before="100" w:beforeAutospacing="1" w:after="100" w:afterAutospacing="1" w:line="240" w:lineRule="auto"/>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An important part of our review will comprise giving consideration to electoral arrangements. The term covers the way in which a council is constituted for the parish. It covers:</w:t>
      </w:r>
    </w:p>
    <w:p w14:paraId="5F9A8A64" w14:textId="77777777" w:rsidR="00000501" w:rsidRPr="00000501" w:rsidRDefault="00000501" w:rsidP="00000501">
      <w:pPr>
        <w:numPr>
          <w:ilvl w:val="0"/>
          <w:numId w:val="1"/>
        </w:numPr>
        <w:spacing w:before="100" w:beforeAutospacing="1" w:after="100" w:afterAutospacing="1" w:line="240" w:lineRule="auto"/>
        <w:ind w:left="402"/>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The ordinary year in which elections are held</w:t>
      </w:r>
    </w:p>
    <w:p w14:paraId="46BC1AB6" w14:textId="77777777" w:rsidR="00000501" w:rsidRPr="00000501" w:rsidRDefault="00000501" w:rsidP="00000501">
      <w:pPr>
        <w:numPr>
          <w:ilvl w:val="0"/>
          <w:numId w:val="1"/>
        </w:numPr>
        <w:spacing w:before="100" w:beforeAutospacing="1" w:after="100" w:afterAutospacing="1" w:line="240" w:lineRule="auto"/>
        <w:ind w:left="402"/>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The number of councillors to be elected to the council</w:t>
      </w:r>
    </w:p>
    <w:p w14:paraId="39597FAD" w14:textId="77777777" w:rsidR="00000501" w:rsidRPr="00000501" w:rsidRDefault="00000501" w:rsidP="00000501">
      <w:pPr>
        <w:numPr>
          <w:ilvl w:val="0"/>
          <w:numId w:val="1"/>
        </w:numPr>
        <w:spacing w:before="100" w:beforeAutospacing="1" w:after="100" w:afterAutospacing="1" w:line="240" w:lineRule="auto"/>
        <w:ind w:left="402"/>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The division (or not) of the parish into wards for the purpose of electing councillors</w:t>
      </w:r>
    </w:p>
    <w:p w14:paraId="3983D53B" w14:textId="77777777" w:rsidR="00000501" w:rsidRPr="00000501" w:rsidRDefault="00000501" w:rsidP="00000501">
      <w:pPr>
        <w:numPr>
          <w:ilvl w:val="0"/>
          <w:numId w:val="1"/>
        </w:numPr>
        <w:spacing w:before="100" w:beforeAutospacing="1" w:after="100" w:afterAutospacing="1" w:line="240" w:lineRule="auto"/>
        <w:ind w:left="402"/>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The number and boundaries of any such wards</w:t>
      </w:r>
    </w:p>
    <w:p w14:paraId="119819EB" w14:textId="77777777" w:rsidR="00000501" w:rsidRPr="00000501" w:rsidRDefault="00000501" w:rsidP="00000501">
      <w:pPr>
        <w:numPr>
          <w:ilvl w:val="0"/>
          <w:numId w:val="1"/>
        </w:numPr>
        <w:spacing w:before="100" w:beforeAutospacing="1" w:after="100" w:afterAutospacing="1" w:line="240" w:lineRule="auto"/>
        <w:ind w:left="402"/>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The number of councillors to be elected for any such ward and</w:t>
      </w:r>
    </w:p>
    <w:p w14:paraId="13270BEA" w14:textId="77777777" w:rsidR="00000501" w:rsidRPr="00000501" w:rsidRDefault="00000501" w:rsidP="00000501">
      <w:pPr>
        <w:numPr>
          <w:ilvl w:val="0"/>
          <w:numId w:val="1"/>
        </w:numPr>
        <w:spacing w:before="100" w:beforeAutospacing="1" w:after="100" w:afterAutospacing="1" w:line="240" w:lineRule="auto"/>
        <w:ind w:left="402"/>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The name of any such ward</w:t>
      </w:r>
    </w:p>
    <w:p w14:paraId="5C00C4AE" w14:textId="77777777" w:rsidR="00000501" w:rsidRPr="00000501" w:rsidRDefault="00000501" w:rsidP="00000501">
      <w:pPr>
        <w:spacing w:before="100" w:beforeAutospacing="1" w:after="100" w:afterAutospacing="1" w:line="240" w:lineRule="auto"/>
        <w:outlineLvl w:val="2"/>
        <w:rPr>
          <w:rFonts w:ascii="Arial" w:eastAsia="Times New Roman" w:hAnsi="Arial" w:cs="Arial"/>
          <w:b/>
          <w:bCs/>
          <w:color w:val="000000"/>
          <w:sz w:val="24"/>
          <w:szCs w:val="24"/>
          <w:lang w:eastAsia="en-GB"/>
        </w:rPr>
      </w:pPr>
      <w:r w:rsidRPr="00000501">
        <w:rPr>
          <w:rFonts w:ascii="Arial" w:eastAsia="Times New Roman" w:hAnsi="Arial" w:cs="Arial"/>
          <w:b/>
          <w:bCs/>
          <w:color w:val="000000"/>
          <w:sz w:val="24"/>
          <w:szCs w:val="24"/>
          <w:lang w:eastAsia="en-GB"/>
        </w:rPr>
        <w:t>Is there an ideal size for a parish council?</w:t>
      </w:r>
    </w:p>
    <w:p w14:paraId="24863BA7" w14:textId="77777777" w:rsidR="00000501" w:rsidRPr="00000501" w:rsidRDefault="00000501" w:rsidP="00000501">
      <w:pPr>
        <w:spacing w:before="100" w:beforeAutospacing="1" w:after="100" w:afterAutospacing="1" w:line="240" w:lineRule="auto"/>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The government's guidance is that "each area should be considered on its own merits, having regard to its population, geography and the pattern of communities," and therefore the council is prepared to pay particular attention to existing levels of representation, the broad pattern of existing council sizes which have stood the test of time and the take-up of seats at elections in its consideration of this matter.</w:t>
      </w:r>
    </w:p>
    <w:p w14:paraId="4CAB337C" w14:textId="5432E02A" w:rsidR="00000501" w:rsidRPr="00000501" w:rsidRDefault="00000501" w:rsidP="00000501">
      <w:pPr>
        <w:spacing w:before="100" w:beforeAutospacing="1" w:after="100" w:afterAutospacing="1" w:line="240" w:lineRule="auto"/>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 xml:space="preserve">Parishes wishing to increase numbers must give strong reasons for doing so. The number of </w:t>
      </w:r>
      <w:r w:rsidR="00687A7E">
        <w:rPr>
          <w:rFonts w:ascii="Arial" w:eastAsia="Times New Roman" w:hAnsi="Arial" w:cs="Arial"/>
          <w:color w:val="000000"/>
          <w:sz w:val="24"/>
          <w:szCs w:val="24"/>
          <w:lang w:eastAsia="en-GB"/>
        </w:rPr>
        <w:t>P</w:t>
      </w:r>
      <w:r w:rsidRPr="00000501">
        <w:rPr>
          <w:rFonts w:ascii="Arial" w:eastAsia="Times New Roman" w:hAnsi="Arial" w:cs="Arial"/>
          <w:color w:val="000000"/>
          <w:sz w:val="24"/>
          <w:szCs w:val="24"/>
          <w:lang w:eastAsia="en-GB"/>
        </w:rPr>
        <w:t xml:space="preserve">arish or </w:t>
      </w:r>
      <w:r w:rsidR="00687A7E">
        <w:rPr>
          <w:rFonts w:ascii="Arial" w:eastAsia="Times New Roman" w:hAnsi="Arial" w:cs="Arial"/>
          <w:color w:val="000000"/>
          <w:sz w:val="24"/>
          <w:szCs w:val="24"/>
          <w:lang w:eastAsia="en-GB"/>
        </w:rPr>
        <w:t>T</w:t>
      </w:r>
      <w:r w:rsidRPr="00000501">
        <w:rPr>
          <w:rFonts w:ascii="Arial" w:eastAsia="Times New Roman" w:hAnsi="Arial" w:cs="Arial"/>
          <w:color w:val="000000"/>
          <w:sz w:val="24"/>
          <w:szCs w:val="24"/>
          <w:lang w:eastAsia="en-GB"/>
        </w:rPr>
        <w:t xml:space="preserve">own councillors for each </w:t>
      </w:r>
      <w:r w:rsidR="00687A7E">
        <w:rPr>
          <w:rFonts w:ascii="Arial" w:eastAsia="Times New Roman" w:hAnsi="Arial" w:cs="Arial"/>
          <w:color w:val="000000"/>
          <w:sz w:val="24"/>
          <w:szCs w:val="24"/>
          <w:lang w:eastAsia="en-GB"/>
        </w:rPr>
        <w:t>c</w:t>
      </w:r>
      <w:r w:rsidRPr="00000501">
        <w:rPr>
          <w:rFonts w:ascii="Arial" w:eastAsia="Times New Roman" w:hAnsi="Arial" w:cs="Arial"/>
          <w:color w:val="000000"/>
          <w:sz w:val="24"/>
          <w:szCs w:val="24"/>
          <w:lang w:eastAsia="en-GB"/>
        </w:rPr>
        <w:t xml:space="preserve">ouncil must be not less than five but can be greater. However, each parish grouped under a common </w:t>
      </w:r>
      <w:r w:rsidR="00687A7E">
        <w:rPr>
          <w:rFonts w:ascii="Arial" w:eastAsia="Times New Roman" w:hAnsi="Arial" w:cs="Arial"/>
          <w:color w:val="000000"/>
          <w:sz w:val="24"/>
          <w:szCs w:val="24"/>
          <w:lang w:eastAsia="en-GB"/>
        </w:rPr>
        <w:t>P</w:t>
      </w:r>
      <w:r w:rsidRPr="00000501">
        <w:rPr>
          <w:rFonts w:ascii="Arial" w:eastAsia="Times New Roman" w:hAnsi="Arial" w:cs="Arial"/>
          <w:color w:val="000000"/>
          <w:sz w:val="24"/>
          <w:szCs w:val="24"/>
          <w:lang w:eastAsia="en-GB"/>
        </w:rPr>
        <w:t xml:space="preserve">arish </w:t>
      </w:r>
      <w:r w:rsidR="00687A7E">
        <w:rPr>
          <w:rFonts w:ascii="Arial" w:eastAsia="Times New Roman" w:hAnsi="Arial" w:cs="Arial"/>
          <w:color w:val="000000"/>
          <w:sz w:val="24"/>
          <w:szCs w:val="24"/>
          <w:lang w:eastAsia="en-GB"/>
        </w:rPr>
        <w:t>C</w:t>
      </w:r>
      <w:r w:rsidRPr="00000501">
        <w:rPr>
          <w:rFonts w:ascii="Arial" w:eastAsia="Times New Roman" w:hAnsi="Arial" w:cs="Arial"/>
          <w:color w:val="000000"/>
          <w:sz w:val="24"/>
          <w:szCs w:val="24"/>
          <w:lang w:eastAsia="en-GB"/>
        </w:rPr>
        <w:t>ouncil must have at least one parish councillor.</w:t>
      </w:r>
    </w:p>
    <w:p w14:paraId="5EE2F044" w14:textId="5C6D6AC0" w:rsidR="00000501" w:rsidRPr="00000501" w:rsidRDefault="00000501" w:rsidP="00000501">
      <w:pPr>
        <w:spacing w:before="100" w:beforeAutospacing="1" w:after="100" w:afterAutospacing="1" w:line="240" w:lineRule="auto"/>
        <w:rPr>
          <w:rFonts w:ascii="Arial" w:eastAsia="Times New Roman" w:hAnsi="Arial" w:cs="Arial"/>
          <w:color w:val="000000"/>
          <w:sz w:val="24"/>
          <w:szCs w:val="24"/>
          <w:lang w:eastAsia="en-GB"/>
        </w:rPr>
      </w:pPr>
      <w:r w:rsidRPr="00000501">
        <w:rPr>
          <w:rFonts w:ascii="Arial" w:eastAsia="Times New Roman" w:hAnsi="Arial" w:cs="Arial"/>
          <w:color w:val="000000"/>
          <w:sz w:val="24"/>
          <w:szCs w:val="24"/>
          <w:lang w:eastAsia="en-GB"/>
        </w:rPr>
        <w:t xml:space="preserve">The </w:t>
      </w:r>
      <w:r w:rsidR="00CF555D">
        <w:rPr>
          <w:rFonts w:ascii="Arial" w:eastAsia="Times New Roman" w:hAnsi="Arial" w:cs="Arial"/>
          <w:color w:val="000000"/>
          <w:sz w:val="24"/>
          <w:szCs w:val="24"/>
          <w:lang w:eastAsia="en-GB"/>
        </w:rPr>
        <w:t xml:space="preserve">National Association of Local Councils </w:t>
      </w:r>
      <w:r w:rsidRPr="00000501">
        <w:rPr>
          <w:rFonts w:ascii="Arial" w:eastAsia="Times New Roman" w:hAnsi="Arial" w:cs="Arial"/>
          <w:color w:val="000000"/>
          <w:sz w:val="24"/>
          <w:szCs w:val="24"/>
          <w:lang w:eastAsia="en-GB"/>
        </w:rPr>
        <w:t>found the following levels of representation to the good running of a council:</w:t>
      </w:r>
    </w:p>
    <w:tbl>
      <w:tblPr>
        <w:tblStyle w:val="TableGrid"/>
        <w:tblpPr w:leftFromText="180" w:rightFromText="180" w:vertAnchor="text" w:horzAnchor="page" w:tblpX="927" w:tblpY="19"/>
        <w:tblOverlap w:val="never"/>
        <w:tblW w:w="9855" w:type="dxa"/>
        <w:tblLayout w:type="fixed"/>
        <w:tblLook w:val="04A0" w:firstRow="1" w:lastRow="0" w:firstColumn="1" w:lastColumn="0" w:noHBand="0" w:noVBand="1"/>
      </w:tblPr>
      <w:tblGrid>
        <w:gridCol w:w="3085"/>
        <w:gridCol w:w="1843"/>
        <w:gridCol w:w="3084"/>
        <w:gridCol w:w="1843"/>
      </w:tblGrid>
      <w:tr w:rsidR="00CF555D" w:rsidRPr="00000501" w14:paraId="5772E1D3" w14:textId="59D8DBC2" w:rsidTr="00CF555D">
        <w:trPr>
          <w:trHeight w:val="567"/>
        </w:trPr>
        <w:tc>
          <w:tcPr>
            <w:tcW w:w="3085" w:type="dxa"/>
            <w:vAlign w:val="center"/>
          </w:tcPr>
          <w:p w14:paraId="432840D6" w14:textId="77777777" w:rsidR="00CF555D" w:rsidRPr="00000501" w:rsidRDefault="00CF555D" w:rsidP="00CF555D">
            <w:pPr>
              <w:rPr>
                <w:rFonts w:ascii="Arial" w:eastAsia="Times New Roman" w:hAnsi="Arial" w:cs="Arial"/>
                <w:b/>
                <w:color w:val="000000"/>
                <w:sz w:val="24"/>
                <w:szCs w:val="24"/>
                <w:lang w:eastAsia="en-GB"/>
              </w:rPr>
            </w:pPr>
            <w:r w:rsidRPr="00000501">
              <w:rPr>
                <w:rFonts w:ascii="Arial" w:eastAsia="Times New Roman" w:hAnsi="Arial" w:cs="Arial"/>
                <w:b/>
                <w:color w:val="000000"/>
                <w:sz w:val="24"/>
                <w:szCs w:val="24"/>
                <w:lang w:eastAsia="en-GB"/>
              </w:rPr>
              <w:t>Electors</w:t>
            </w:r>
          </w:p>
        </w:tc>
        <w:tc>
          <w:tcPr>
            <w:tcW w:w="1843" w:type="dxa"/>
            <w:vAlign w:val="center"/>
          </w:tcPr>
          <w:p w14:paraId="638F410E" w14:textId="7D5B6C93" w:rsidR="00CF555D" w:rsidRPr="00000501" w:rsidRDefault="00CF555D" w:rsidP="00CF555D">
            <w:pPr>
              <w:rPr>
                <w:rFonts w:ascii="Arial" w:eastAsia="Times New Roman" w:hAnsi="Arial" w:cs="Arial"/>
                <w:b/>
                <w:color w:val="000000"/>
                <w:sz w:val="24"/>
                <w:szCs w:val="24"/>
                <w:lang w:eastAsia="en-GB"/>
              </w:rPr>
            </w:pPr>
            <w:r w:rsidRPr="00000501">
              <w:rPr>
                <w:rFonts w:ascii="Arial" w:eastAsia="Times New Roman" w:hAnsi="Arial" w:cs="Arial"/>
                <w:b/>
                <w:color w:val="000000"/>
                <w:sz w:val="24"/>
                <w:szCs w:val="24"/>
                <w:lang w:eastAsia="en-GB"/>
              </w:rPr>
              <w:t>Councillors</w:t>
            </w:r>
          </w:p>
        </w:tc>
        <w:tc>
          <w:tcPr>
            <w:tcW w:w="3084" w:type="dxa"/>
            <w:vAlign w:val="center"/>
          </w:tcPr>
          <w:p w14:paraId="178C5286" w14:textId="77262B03" w:rsidR="00CF555D" w:rsidRPr="00000501" w:rsidRDefault="00CF555D" w:rsidP="00CF555D">
            <w:pPr>
              <w:rPr>
                <w:rFonts w:ascii="Arial" w:eastAsia="Times New Roman" w:hAnsi="Arial" w:cs="Arial"/>
                <w:b/>
                <w:color w:val="000000"/>
                <w:sz w:val="24"/>
                <w:szCs w:val="24"/>
                <w:lang w:eastAsia="en-GB"/>
              </w:rPr>
            </w:pPr>
            <w:r w:rsidRPr="00000501">
              <w:rPr>
                <w:rFonts w:ascii="Arial" w:eastAsia="Times New Roman" w:hAnsi="Arial" w:cs="Arial"/>
                <w:b/>
                <w:color w:val="000000"/>
                <w:sz w:val="24"/>
                <w:szCs w:val="24"/>
                <w:lang w:eastAsia="en-GB"/>
              </w:rPr>
              <w:t>Electors</w:t>
            </w:r>
          </w:p>
        </w:tc>
        <w:tc>
          <w:tcPr>
            <w:tcW w:w="1843" w:type="dxa"/>
            <w:vAlign w:val="center"/>
          </w:tcPr>
          <w:p w14:paraId="0A4D80A8" w14:textId="65E365C6" w:rsidR="00CF555D" w:rsidRPr="00000501" w:rsidRDefault="00CF555D" w:rsidP="00CF555D">
            <w:pPr>
              <w:rPr>
                <w:rFonts w:ascii="Arial" w:eastAsia="Times New Roman" w:hAnsi="Arial" w:cs="Arial"/>
                <w:b/>
                <w:color w:val="000000"/>
                <w:sz w:val="24"/>
                <w:szCs w:val="24"/>
                <w:lang w:eastAsia="en-GB"/>
              </w:rPr>
            </w:pPr>
            <w:r w:rsidRPr="00000501">
              <w:rPr>
                <w:rFonts w:ascii="Arial" w:eastAsia="Times New Roman" w:hAnsi="Arial" w:cs="Arial"/>
                <w:b/>
                <w:color w:val="000000"/>
                <w:sz w:val="24"/>
                <w:szCs w:val="24"/>
                <w:lang w:eastAsia="en-GB"/>
              </w:rPr>
              <w:t>Councillors</w:t>
            </w:r>
          </w:p>
        </w:tc>
      </w:tr>
      <w:tr w:rsidR="00CF555D" w:rsidRPr="00000501" w14:paraId="59E699B8" w14:textId="3BFE27B8" w:rsidTr="00CF555D">
        <w:trPr>
          <w:trHeight w:val="567"/>
        </w:trPr>
        <w:tc>
          <w:tcPr>
            <w:tcW w:w="3085" w:type="dxa"/>
            <w:vAlign w:val="center"/>
          </w:tcPr>
          <w:p w14:paraId="6D4E496B" w14:textId="376A3099"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 – 900</w:t>
            </w:r>
          </w:p>
        </w:tc>
        <w:tc>
          <w:tcPr>
            <w:tcW w:w="1843" w:type="dxa"/>
            <w:vAlign w:val="center"/>
          </w:tcPr>
          <w:p w14:paraId="182BE44D" w14:textId="7A7C69AF"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c>
          <w:tcPr>
            <w:tcW w:w="3084" w:type="dxa"/>
            <w:vAlign w:val="center"/>
          </w:tcPr>
          <w:p w14:paraId="16454702" w14:textId="5AE9291F"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3501 - 4400</w:t>
            </w:r>
          </w:p>
        </w:tc>
        <w:tc>
          <w:tcPr>
            <w:tcW w:w="1843" w:type="dxa"/>
            <w:vAlign w:val="center"/>
          </w:tcPr>
          <w:p w14:paraId="65680DCD" w14:textId="54BF7B75"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p>
        </w:tc>
      </w:tr>
      <w:tr w:rsidR="00CF555D" w:rsidRPr="00000501" w14:paraId="0037F1D0" w14:textId="4F35E63F" w:rsidTr="00CF555D">
        <w:trPr>
          <w:trHeight w:val="567"/>
        </w:trPr>
        <w:tc>
          <w:tcPr>
            <w:tcW w:w="3085" w:type="dxa"/>
            <w:vAlign w:val="center"/>
          </w:tcPr>
          <w:p w14:paraId="7EA40D12" w14:textId="65BF286B"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901 – 1400</w:t>
            </w:r>
          </w:p>
        </w:tc>
        <w:tc>
          <w:tcPr>
            <w:tcW w:w="1843" w:type="dxa"/>
            <w:vAlign w:val="center"/>
          </w:tcPr>
          <w:p w14:paraId="0DC38C6A" w14:textId="661B3AFA"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c>
          <w:tcPr>
            <w:tcW w:w="3084" w:type="dxa"/>
            <w:vAlign w:val="center"/>
          </w:tcPr>
          <w:p w14:paraId="7B35322D" w14:textId="3EB57679"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4401 - 5400</w:t>
            </w:r>
          </w:p>
        </w:tc>
        <w:tc>
          <w:tcPr>
            <w:tcW w:w="1843" w:type="dxa"/>
            <w:vAlign w:val="center"/>
          </w:tcPr>
          <w:p w14:paraId="19257CB9" w14:textId="1C1DD4F6"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p>
        </w:tc>
      </w:tr>
      <w:tr w:rsidR="00CF555D" w:rsidRPr="00000501" w14:paraId="11F6DA7B" w14:textId="574BEA04" w:rsidTr="00CF555D">
        <w:trPr>
          <w:trHeight w:val="567"/>
        </w:trPr>
        <w:tc>
          <w:tcPr>
            <w:tcW w:w="3085" w:type="dxa"/>
            <w:vAlign w:val="center"/>
          </w:tcPr>
          <w:p w14:paraId="7D445AA7" w14:textId="717E7A98"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1401 – 2000</w:t>
            </w:r>
          </w:p>
        </w:tc>
        <w:tc>
          <w:tcPr>
            <w:tcW w:w="1843" w:type="dxa"/>
            <w:vAlign w:val="center"/>
          </w:tcPr>
          <w:p w14:paraId="5221F308" w14:textId="08BCBEA9"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p>
        </w:tc>
        <w:tc>
          <w:tcPr>
            <w:tcW w:w="3084" w:type="dxa"/>
            <w:vAlign w:val="center"/>
          </w:tcPr>
          <w:p w14:paraId="2DFCD452" w14:textId="20AE8B48"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5401 - 6500</w:t>
            </w:r>
          </w:p>
        </w:tc>
        <w:tc>
          <w:tcPr>
            <w:tcW w:w="1843" w:type="dxa"/>
            <w:vAlign w:val="center"/>
          </w:tcPr>
          <w:p w14:paraId="696DF102" w14:textId="0B339004"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p>
        </w:tc>
      </w:tr>
      <w:tr w:rsidR="00CF555D" w:rsidRPr="00000501" w14:paraId="6A66D6E6" w14:textId="1E0CE605" w:rsidTr="00CF555D">
        <w:trPr>
          <w:trHeight w:val="567"/>
        </w:trPr>
        <w:tc>
          <w:tcPr>
            <w:tcW w:w="3085" w:type="dxa"/>
            <w:vAlign w:val="center"/>
          </w:tcPr>
          <w:p w14:paraId="46285FEC" w14:textId="1C31FE60"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2001 – 2700</w:t>
            </w:r>
          </w:p>
        </w:tc>
        <w:tc>
          <w:tcPr>
            <w:tcW w:w="1843" w:type="dxa"/>
            <w:vAlign w:val="center"/>
          </w:tcPr>
          <w:p w14:paraId="5ED59B29" w14:textId="5A9DE7BC"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p>
        </w:tc>
        <w:tc>
          <w:tcPr>
            <w:tcW w:w="3084" w:type="dxa"/>
            <w:vAlign w:val="center"/>
          </w:tcPr>
          <w:p w14:paraId="1A09F081" w14:textId="4F2C1867"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6501 - 7700</w:t>
            </w:r>
          </w:p>
        </w:tc>
        <w:tc>
          <w:tcPr>
            <w:tcW w:w="1843" w:type="dxa"/>
            <w:vAlign w:val="center"/>
          </w:tcPr>
          <w:p w14:paraId="28A37B9C" w14:textId="78C89772"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w:t>
            </w:r>
          </w:p>
        </w:tc>
      </w:tr>
      <w:tr w:rsidR="00CF555D" w:rsidRPr="00000501" w14:paraId="72150345" w14:textId="27099FC3" w:rsidTr="00CF555D">
        <w:trPr>
          <w:trHeight w:val="567"/>
        </w:trPr>
        <w:tc>
          <w:tcPr>
            <w:tcW w:w="3085" w:type="dxa"/>
            <w:vAlign w:val="center"/>
          </w:tcPr>
          <w:p w14:paraId="064F183D" w14:textId="34477504"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2701 – 3500</w:t>
            </w:r>
          </w:p>
        </w:tc>
        <w:tc>
          <w:tcPr>
            <w:tcW w:w="1843" w:type="dxa"/>
            <w:vAlign w:val="center"/>
          </w:tcPr>
          <w:p w14:paraId="14305135" w14:textId="221EB113"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3084" w:type="dxa"/>
            <w:vAlign w:val="center"/>
          </w:tcPr>
          <w:p w14:paraId="12906940" w14:textId="01D307ED"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11,800 – 13,300</w:t>
            </w:r>
          </w:p>
        </w:tc>
        <w:tc>
          <w:tcPr>
            <w:tcW w:w="1843" w:type="dxa"/>
            <w:vAlign w:val="center"/>
          </w:tcPr>
          <w:p w14:paraId="35470CD3" w14:textId="7C9F25E0" w:rsidR="00CF555D" w:rsidRPr="00000501" w:rsidRDefault="00CF555D" w:rsidP="00CF555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18</w:t>
            </w:r>
          </w:p>
        </w:tc>
      </w:tr>
    </w:tbl>
    <w:p w14:paraId="7E1096E6" w14:textId="77777777" w:rsidR="00000501" w:rsidRPr="00CF555D" w:rsidRDefault="00000501" w:rsidP="00000501">
      <w:pPr>
        <w:rPr>
          <w:rFonts w:ascii="Arial" w:hAnsi="Arial" w:cs="Arial"/>
          <w:sz w:val="2"/>
          <w:szCs w:val="2"/>
        </w:rPr>
      </w:pPr>
    </w:p>
    <w:p w14:paraId="5D7A0172" w14:textId="77777777" w:rsidR="00000501" w:rsidRPr="00000501" w:rsidRDefault="00000501" w:rsidP="00000501">
      <w:pPr>
        <w:pStyle w:val="Heading3"/>
        <w:rPr>
          <w:rFonts w:ascii="Arial" w:hAnsi="Arial" w:cs="Arial"/>
          <w:sz w:val="24"/>
          <w:szCs w:val="24"/>
        </w:rPr>
      </w:pPr>
      <w:r w:rsidRPr="00000501">
        <w:rPr>
          <w:rFonts w:ascii="Arial" w:hAnsi="Arial" w:cs="Arial"/>
          <w:sz w:val="24"/>
          <w:szCs w:val="24"/>
        </w:rPr>
        <w:t>Viability</w:t>
      </w:r>
    </w:p>
    <w:p w14:paraId="2C96510D" w14:textId="67161728" w:rsidR="00000501" w:rsidRDefault="00000501" w:rsidP="00000501">
      <w:pPr>
        <w:pStyle w:val="NormalWeb"/>
        <w:rPr>
          <w:rFonts w:ascii="Arial" w:hAnsi="Arial" w:cs="Arial"/>
          <w:color w:val="000000"/>
        </w:rPr>
      </w:pPr>
      <w:r w:rsidRPr="00000501">
        <w:rPr>
          <w:rFonts w:ascii="Arial" w:hAnsi="Arial" w:cs="Arial"/>
          <w:color w:val="000000"/>
        </w:rPr>
        <w:t>The government has a commitment to improve the capacity of the parish structure to deliver better services and to represent the community's interests. Therefore, the council is anxious to ensure that parishes should be viable and should possess a precept that enables them to actively and effectively promote the wellbeing of their residents and to contribute to the real provision of services in their areas in an economic and efficient manner.</w:t>
      </w:r>
    </w:p>
    <w:p w14:paraId="558345CD" w14:textId="2819B55F" w:rsidR="00CF555D" w:rsidRDefault="00CF555D" w:rsidP="00000501">
      <w:pPr>
        <w:pStyle w:val="NormalWeb"/>
        <w:rPr>
          <w:rFonts w:ascii="Arial" w:hAnsi="Arial" w:cs="Arial"/>
          <w:color w:val="000000"/>
        </w:rPr>
      </w:pPr>
    </w:p>
    <w:p w14:paraId="1DB02303" w14:textId="77777777" w:rsidR="00000501" w:rsidRPr="00000501" w:rsidRDefault="00000501" w:rsidP="00000501">
      <w:pPr>
        <w:pStyle w:val="Heading3"/>
        <w:rPr>
          <w:rFonts w:ascii="Arial" w:hAnsi="Arial" w:cs="Arial"/>
          <w:sz w:val="24"/>
          <w:szCs w:val="24"/>
        </w:rPr>
      </w:pPr>
      <w:r w:rsidRPr="00000501">
        <w:rPr>
          <w:rFonts w:ascii="Arial" w:hAnsi="Arial" w:cs="Arial"/>
          <w:sz w:val="24"/>
          <w:szCs w:val="24"/>
        </w:rPr>
        <w:lastRenderedPageBreak/>
        <w:t>Boundaries</w:t>
      </w:r>
    </w:p>
    <w:p w14:paraId="093BE1EA" w14:textId="6704BA44" w:rsidR="00000501" w:rsidRPr="00000501" w:rsidRDefault="00000501" w:rsidP="00000501">
      <w:pPr>
        <w:pStyle w:val="NormalWeb"/>
        <w:rPr>
          <w:rFonts w:ascii="Arial" w:hAnsi="Arial" w:cs="Arial"/>
          <w:color w:val="000000"/>
        </w:rPr>
      </w:pPr>
      <w:r w:rsidRPr="00000501">
        <w:rPr>
          <w:rFonts w:ascii="Arial" w:hAnsi="Arial" w:cs="Arial"/>
          <w:color w:val="000000"/>
        </w:rPr>
        <w:t xml:space="preserve">It will be desirable for </w:t>
      </w:r>
      <w:r w:rsidR="00687A7E">
        <w:rPr>
          <w:rFonts w:ascii="Arial" w:hAnsi="Arial" w:cs="Arial"/>
          <w:color w:val="000000"/>
        </w:rPr>
        <w:t>P</w:t>
      </w:r>
      <w:r w:rsidRPr="00000501">
        <w:rPr>
          <w:rFonts w:ascii="Arial" w:hAnsi="Arial" w:cs="Arial"/>
          <w:color w:val="000000"/>
        </w:rPr>
        <w:t xml:space="preserve">arish or </w:t>
      </w:r>
      <w:r w:rsidR="00687A7E">
        <w:rPr>
          <w:rFonts w:ascii="Arial" w:hAnsi="Arial" w:cs="Arial"/>
          <w:color w:val="000000"/>
        </w:rPr>
        <w:t>T</w:t>
      </w:r>
      <w:r w:rsidRPr="00000501">
        <w:rPr>
          <w:rFonts w:ascii="Arial" w:hAnsi="Arial" w:cs="Arial"/>
          <w:color w:val="000000"/>
        </w:rPr>
        <w:t xml:space="preserve">own </w:t>
      </w:r>
      <w:r w:rsidR="00687A7E">
        <w:rPr>
          <w:rFonts w:ascii="Arial" w:hAnsi="Arial" w:cs="Arial"/>
          <w:color w:val="000000"/>
        </w:rPr>
        <w:t>C</w:t>
      </w:r>
      <w:r w:rsidRPr="00000501">
        <w:rPr>
          <w:rFonts w:ascii="Arial" w:hAnsi="Arial" w:cs="Arial"/>
          <w:color w:val="000000"/>
        </w:rPr>
        <w:t>ouncil boundaries to be readily identifiable. This can be by reference to physical features or may follow adopted electoral ward boundaries in the district. Any changes should also take into account population shifts or additional development that may have affected community identity.</w:t>
      </w:r>
    </w:p>
    <w:p w14:paraId="59568DD8" w14:textId="77777777" w:rsidR="00000501" w:rsidRPr="00000501" w:rsidRDefault="00000501" w:rsidP="00000501">
      <w:pPr>
        <w:rPr>
          <w:rFonts w:ascii="Arial" w:hAnsi="Arial" w:cs="Arial"/>
          <w:sz w:val="24"/>
          <w:szCs w:val="24"/>
        </w:rPr>
      </w:pPr>
    </w:p>
    <w:sectPr w:rsidR="00000501" w:rsidRPr="00000501" w:rsidSect="00B0150F">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26BA4"/>
    <w:multiLevelType w:val="multilevel"/>
    <w:tmpl w:val="7C42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34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B085D"/>
    <w:rsid w:val="00000501"/>
    <w:rsid w:val="00002129"/>
    <w:rsid w:val="000142C2"/>
    <w:rsid w:val="00023D97"/>
    <w:rsid w:val="00047283"/>
    <w:rsid w:val="000533FE"/>
    <w:rsid w:val="000555F4"/>
    <w:rsid w:val="0007768D"/>
    <w:rsid w:val="000B085D"/>
    <w:rsid w:val="000B20DF"/>
    <w:rsid w:val="000B5ECA"/>
    <w:rsid w:val="000E0C12"/>
    <w:rsid w:val="00103FDD"/>
    <w:rsid w:val="00122FC3"/>
    <w:rsid w:val="00131661"/>
    <w:rsid w:val="00137401"/>
    <w:rsid w:val="00141A9B"/>
    <w:rsid w:val="0015212E"/>
    <w:rsid w:val="00181BB6"/>
    <w:rsid w:val="0019399C"/>
    <w:rsid w:val="00196D22"/>
    <w:rsid w:val="001B290D"/>
    <w:rsid w:val="001D1358"/>
    <w:rsid w:val="001E398F"/>
    <w:rsid w:val="001E461E"/>
    <w:rsid w:val="00220413"/>
    <w:rsid w:val="00264C0B"/>
    <w:rsid w:val="002774E4"/>
    <w:rsid w:val="002A2CAF"/>
    <w:rsid w:val="002B219F"/>
    <w:rsid w:val="002B769B"/>
    <w:rsid w:val="002C05E7"/>
    <w:rsid w:val="002F706D"/>
    <w:rsid w:val="003106F8"/>
    <w:rsid w:val="00375670"/>
    <w:rsid w:val="003812B7"/>
    <w:rsid w:val="00386C25"/>
    <w:rsid w:val="003A39B1"/>
    <w:rsid w:val="003C4B8F"/>
    <w:rsid w:val="003E30F6"/>
    <w:rsid w:val="003E4F32"/>
    <w:rsid w:val="003F0F78"/>
    <w:rsid w:val="003F1ACB"/>
    <w:rsid w:val="003F2153"/>
    <w:rsid w:val="00423661"/>
    <w:rsid w:val="00475073"/>
    <w:rsid w:val="00486E23"/>
    <w:rsid w:val="004A0BA6"/>
    <w:rsid w:val="004B1210"/>
    <w:rsid w:val="004C3F85"/>
    <w:rsid w:val="004D661E"/>
    <w:rsid w:val="004E5E08"/>
    <w:rsid w:val="00601539"/>
    <w:rsid w:val="006048B2"/>
    <w:rsid w:val="006519F2"/>
    <w:rsid w:val="00687A7E"/>
    <w:rsid w:val="006922DA"/>
    <w:rsid w:val="006977FF"/>
    <w:rsid w:val="006D1352"/>
    <w:rsid w:val="0070115D"/>
    <w:rsid w:val="0076004C"/>
    <w:rsid w:val="007743B7"/>
    <w:rsid w:val="007749E4"/>
    <w:rsid w:val="00775E58"/>
    <w:rsid w:val="007D1D1D"/>
    <w:rsid w:val="00825C1D"/>
    <w:rsid w:val="008430A6"/>
    <w:rsid w:val="008436F0"/>
    <w:rsid w:val="008529D0"/>
    <w:rsid w:val="008B0F55"/>
    <w:rsid w:val="0095516E"/>
    <w:rsid w:val="00960D97"/>
    <w:rsid w:val="009872F3"/>
    <w:rsid w:val="009A17D4"/>
    <w:rsid w:val="009C73E6"/>
    <w:rsid w:val="009F2A80"/>
    <w:rsid w:val="009F581C"/>
    <w:rsid w:val="00A06717"/>
    <w:rsid w:val="00A16173"/>
    <w:rsid w:val="00A35012"/>
    <w:rsid w:val="00A72800"/>
    <w:rsid w:val="00AA150D"/>
    <w:rsid w:val="00AE10DB"/>
    <w:rsid w:val="00B0150F"/>
    <w:rsid w:val="00B06422"/>
    <w:rsid w:val="00B0791D"/>
    <w:rsid w:val="00B5522C"/>
    <w:rsid w:val="00B960DF"/>
    <w:rsid w:val="00BB6FD8"/>
    <w:rsid w:val="00BC1E6D"/>
    <w:rsid w:val="00BD6486"/>
    <w:rsid w:val="00BF6733"/>
    <w:rsid w:val="00C102B3"/>
    <w:rsid w:val="00C1178D"/>
    <w:rsid w:val="00C32BD3"/>
    <w:rsid w:val="00C63F8E"/>
    <w:rsid w:val="00C936B9"/>
    <w:rsid w:val="00CA1235"/>
    <w:rsid w:val="00CA2326"/>
    <w:rsid w:val="00CA4157"/>
    <w:rsid w:val="00CB32BF"/>
    <w:rsid w:val="00CC18E9"/>
    <w:rsid w:val="00CF555D"/>
    <w:rsid w:val="00D31AC2"/>
    <w:rsid w:val="00D337F9"/>
    <w:rsid w:val="00D644B0"/>
    <w:rsid w:val="00DA765C"/>
    <w:rsid w:val="00DC0271"/>
    <w:rsid w:val="00DE4E29"/>
    <w:rsid w:val="00DF017A"/>
    <w:rsid w:val="00DF35A7"/>
    <w:rsid w:val="00E33EDC"/>
    <w:rsid w:val="00E64DE5"/>
    <w:rsid w:val="00EE0017"/>
    <w:rsid w:val="00EF5AEC"/>
    <w:rsid w:val="00F048B0"/>
    <w:rsid w:val="00F51A8A"/>
    <w:rsid w:val="00F7430F"/>
    <w:rsid w:val="00FB1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0331"/>
  <w15:docId w15:val="{0443C5C9-5E41-4538-BF6A-D8A2FD6D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B3"/>
  </w:style>
  <w:style w:type="paragraph" w:styleId="Heading2">
    <w:name w:val="heading 2"/>
    <w:basedOn w:val="Normal"/>
    <w:link w:val="Heading2Char"/>
    <w:uiPriority w:val="9"/>
    <w:qFormat/>
    <w:rsid w:val="000B085D"/>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en-GB"/>
    </w:rPr>
  </w:style>
  <w:style w:type="paragraph" w:styleId="Heading3">
    <w:name w:val="heading 3"/>
    <w:basedOn w:val="Normal"/>
    <w:link w:val="Heading3Char"/>
    <w:uiPriority w:val="9"/>
    <w:qFormat/>
    <w:rsid w:val="000B085D"/>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085D"/>
    <w:rPr>
      <w:rFonts w:ascii="Times New Roman" w:eastAsia="Times New Roman" w:hAnsi="Times New Roman" w:cs="Times New Roman"/>
      <w:b/>
      <w:bCs/>
      <w:color w:val="000000"/>
      <w:sz w:val="36"/>
      <w:szCs w:val="36"/>
      <w:lang w:eastAsia="en-GB"/>
    </w:rPr>
  </w:style>
  <w:style w:type="character" w:customStyle="1" w:styleId="Heading3Char">
    <w:name w:val="Heading 3 Char"/>
    <w:basedOn w:val="DefaultParagraphFont"/>
    <w:link w:val="Heading3"/>
    <w:uiPriority w:val="9"/>
    <w:rsid w:val="000B085D"/>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semiHidden/>
    <w:unhideWhenUsed/>
    <w:rsid w:val="000B08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B085D"/>
    <w:rPr>
      <w:strike w:val="0"/>
      <w:dstrike w:val="0"/>
      <w:color w:val="000000"/>
      <w:u w:val="none"/>
      <w:effect w:val="none"/>
      <w:shd w:val="clear" w:color="auto" w:fill="auto"/>
    </w:rPr>
  </w:style>
  <w:style w:type="paragraph" w:styleId="ListParagraph">
    <w:name w:val="List Paragraph"/>
    <w:basedOn w:val="Normal"/>
    <w:uiPriority w:val="34"/>
    <w:qFormat/>
    <w:rsid w:val="00000501"/>
    <w:pPr>
      <w:ind w:left="720"/>
      <w:contextualSpacing/>
    </w:pPr>
  </w:style>
  <w:style w:type="table" w:styleId="TableGrid">
    <w:name w:val="Table Grid"/>
    <w:basedOn w:val="TableNormal"/>
    <w:uiPriority w:val="59"/>
    <w:rsid w:val="0000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02580">
      <w:bodyDiv w:val="1"/>
      <w:marLeft w:val="0"/>
      <w:marRight w:val="0"/>
      <w:marTop w:val="0"/>
      <w:marBottom w:val="0"/>
      <w:divBdr>
        <w:top w:val="none" w:sz="0" w:space="0" w:color="auto"/>
        <w:left w:val="none" w:sz="0" w:space="0" w:color="auto"/>
        <w:bottom w:val="none" w:sz="0" w:space="0" w:color="auto"/>
        <w:right w:val="none" w:sz="0" w:space="0" w:color="auto"/>
      </w:divBdr>
      <w:divsChild>
        <w:div w:id="713653788">
          <w:marLeft w:val="0"/>
          <w:marRight w:val="0"/>
          <w:marTop w:val="0"/>
          <w:marBottom w:val="0"/>
          <w:divBdr>
            <w:top w:val="none" w:sz="0" w:space="0" w:color="auto"/>
            <w:left w:val="none" w:sz="0" w:space="0" w:color="auto"/>
            <w:bottom w:val="none" w:sz="0" w:space="0" w:color="auto"/>
            <w:right w:val="none" w:sz="0" w:space="0" w:color="auto"/>
          </w:divBdr>
          <w:divsChild>
            <w:div w:id="375087766">
              <w:marLeft w:val="0"/>
              <w:marRight w:val="0"/>
              <w:marTop w:val="0"/>
              <w:marBottom w:val="0"/>
              <w:divBdr>
                <w:top w:val="none" w:sz="0" w:space="0" w:color="auto"/>
                <w:left w:val="none" w:sz="0" w:space="0" w:color="auto"/>
                <w:bottom w:val="none" w:sz="0" w:space="0" w:color="auto"/>
                <w:right w:val="none" w:sz="0" w:space="0" w:color="auto"/>
              </w:divBdr>
              <w:divsChild>
                <w:div w:id="652874437">
                  <w:marLeft w:val="0"/>
                  <w:marRight w:val="0"/>
                  <w:marTop w:val="0"/>
                  <w:marBottom w:val="0"/>
                  <w:divBdr>
                    <w:top w:val="none" w:sz="0" w:space="0" w:color="auto"/>
                    <w:left w:val="none" w:sz="0" w:space="0" w:color="auto"/>
                    <w:bottom w:val="none" w:sz="0" w:space="0" w:color="auto"/>
                    <w:right w:val="none" w:sz="0" w:space="0" w:color="auto"/>
                  </w:divBdr>
                  <w:divsChild>
                    <w:div w:id="836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16223">
      <w:bodyDiv w:val="1"/>
      <w:marLeft w:val="0"/>
      <w:marRight w:val="0"/>
      <w:marTop w:val="0"/>
      <w:marBottom w:val="0"/>
      <w:divBdr>
        <w:top w:val="none" w:sz="0" w:space="0" w:color="auto"/>
        <w:left w:val="none" w:sz="0" w:space="0" w:color="auto"/>
        <w:bottom w:val="none" w:sz="0" w:space="0" w:color="auto"/>
        <w:right w:val="none" w:sz="0" w:space="0" w:color="auto"/>
      </w:divBdr>
      <w:divsChild>
        <w:div w:id="222450371">
          <w:marLeft w:val="0"/>
          <w:marRight w:val="0"/>
          <w:marTop w:val="0"/>
          <w:marBottom w:val="0"/>
          <w:divBdr>
            <w:top w:val="none" w:sz="0" w:space="0" w:color="auto"/>
            <w:left w:val="none" w:sz="0" w:space="0" w:color="auto"/>
            <w:bottom w:val="none" w:sz="0" w:space="0" w:color="auto"/>
            <w:right w:val="none" w:sz="0" w:space="0" w:color="auto"/>
          </w:divBdr>
          <w:divsChild>
            <w:div w:id="2145928774">
              <w:marLeft w:val="0"/>
              <w:marRight w:val="0"/>
              <w:marTop w:val="0"/>
              <w:marBottom w:val="0"/>
              <w:divBdr>
                <w:top w:val="none" w:sz="0" w:space="0" w:color="auto"/>
                <w:left w:val="none" w:sz="0" w:space="0" w:color="auto"/>
                <w:bottom w:val="none" w:sz="0" w:space="0" w:color="auto"/>
                <w:right w:val="none" w:sz="0" w:space="0" w:color="auto"/>
              </w:divBdr>
              <w:divsChild>
                <w:div w:id="1763985386">
                  <w:marLeft w:val="0"/>
                  <w:marRight w:val="0"/>
                  <w:marTop w:val="0"/>
                  <w:marBottom w:val="0"/>
                  <w:divBdr>
                    <w:top w:val="none" w:sz="0" w:space="0" w:color="auto"/>
                    <w:left w:val="none" w:sz="0" w:space="0" w:color="auto"/>
                    <w:bottom w:val="none" w:sz="0" w:space="0" w:color="auto"/>
                    <w:right w:val="none" w:sz="0" w:space="0" w:color="auto"/>
                  </w:divBdr>
                  <w:divsChild>
                    <w:div w:id="8178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04966">
      <w:bodyDiv w:val="1"/>
      <w:marLeft w:val="0"/>
      <w:marRight w:val="0"/>
      <w:marTop w:val="0"/>
      <w:marBottom w:val="0"/>
      <w:divBdr>
        <w:top w:val="none" w:sz="0" w:space="0" w:color="auto"/>
        <w:left w:val="none" w:sz="0" w:space="0" w:color="auto"/>
        <w:bottom w:val="none" w:sz="0" w:space="0" w:color="auto"/>
        <w:right w:val="none" w:sz="0" w:space="0" w:color="auto"/>
      </w:divBdr>
      <w:divsChild>
        <w:div w:id="710420671">
          <w:marLeft w:val="0"/>
          <w:marRight w:val="0"/>
          <w:marTop w:val="0"/>
          <w:marBottom w:val="0"/>
          <w:divBdr>
            <w:top w:val="none" w:sz="0" w:space="0" w:color="auto"/>
            <w:left w:val="none" w:sz="0" w:space="0" w:color="auto"/>
            <w:bottom w:val="none" w:sz="0" w:space="0" w:color="auto"/>
            <w:right w:val="none" w:sz="0" w:space="0" w:color="auto"/>
          </w:divBdr>
          <w:divsChild>
            <w:div w:id="738675765">
              <w:marLeft w:val="0"/>
              <w:marRight w:val="0"/>
              <w:marTop w:val="0"/>
              <w:marBottom w:val="0"/>
              <w:divBdr>
                <w:top w:val="none" w:sz="0" w:space="0" w:color="auto"/>
                <w:left w:val="none" w:sz="0" w:space="0" w:color="auto"/>
                <w:bottom w:val="none" w:sz="0" w:space="0" w:color="auto"/>
                <w:right w:val="none" w:sz="0" w:space="0" w:color="auto"/>
              </w:divBdr>
              <w:divsChild>
                <w:div w:id="912852670">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541570">
      <w:bodyDiv w:val="1"/>
      <w:marLeft w:val="0"/>
      <w:marRight w:val="0"/>
      <w:marTop w:val="0"/>
      <w:marBottom w:val="0"/>
      <w:divBdr>
        <w:top w:val="none" w:sz="0" w:space="0" w:color="auto"/>
        <w:left w:val="none" w:sz="0" w:space="0" w:color="auto"/>
        <w:bottom w:val="none" w:sz="0" w:space="0" w:color="auto"/>
        <w:right w:val="none" w:sz="0" w:space="0" w:color="auto"/>
      </w:divBdr>
      <w:divsChild>
        <w:div w:id="646663226">
          <w:marLeft w:val="0"/>
          <w:marRight w:val="0"/>
          <w:marTop w:val="0"/>
          <w:marBottom w:val="0"/>
          <w:divBdr>
            <w:top w:val="none" w:sz="0" w:space="0" w:color="auto"/>
            <w:left w:val="none" w:sz="0" w:space="0" w:color="auto"/>
            <w:bottom w:val="none" w:sz="0" w:space="0" w:color="auto"/>
            <w:right w:val="none" w:sz="0" w:space="0" w:color="auto"/>
          </w:divBdr>
          <w:divsChild>
            <w:div w:id="744497389">
              <w:marLeft w:val="0"/>
              <w:marRight w:val="0"/>
              <w:marTop w:val="0"/>
              <w:marBottom w:val="0"/>
              <w:divBdr>
                <w:top w:val="none" w:sz="0" w:space="0" w:color="auto"/>
                <w:left w:val="none" w:sz="0" w:space="0" w:color="auto"/>
                <w:bottom w:val="none" w:sz="0" w:space="0" w:color="auto"/>
                <w:right w:val="none" w:sz="0" w:space="0" w:color="auto"/>
              </w:divBdr>
              <w:divsChild>
                <w:div w:id="1644848169">
                  <w:marLeft w:val="0"/>
                  <w:marRight w:val="0"/>
                  <w:marTop w:val="0"/>
                  <w:marBottom w:val="0"/>
                  <w:divBdr>
                    <w:top w:val="none" w:sz="0" w:space="0" w:color="auto"/>
                    <w:left w:val="none" w:sz="0" w:space="0" w:color="auto"/>
                    <w:bottom w:val="none" w:sz="0" w:space="0" w:color="auto"/>
                    <w:right w:val="none" w:sz="0" w:space="0" w:color="auto"/>
                  </w:divBdr>
                  <w:divsChild>
                    <w:div w:id="1516269271">
                      <w:marLeft w:val="0"/>
                      <w:marRight w:val="0"/>
                      <w:marTop w:val="0"/>
                      <w:marBottom w:val="0"/>
                      <w:divBdr>
                        <w:top w:val="none" w:sz="0" w:space="0" w:color="auto"/>
                        <w:left w:val="none" w:sz="0" w:space="0" w:color="auto"/>
                        <w:bottom w:val="none" w:sz="0" w:space="0" w:color="auto"/>
                        <w:right w:val="none" w:sz="0" w:space="0" w:color="auto"/>
                      </w:divBdr>
                      <w:divsChild>
                        <w:div w:id="1033309704">
                          <w:marLeft w:val="0"/>
                          <w:marRight w:val="0"/>
                          <w:marTop w:val="0"/>
                          <w:marBottom w:val="0"/>
                          <w:divBdr>
                            <w:top w:val="none" w:sz="0" w:space="0" w:color="auto"/>
                            <w:left w:val="none" w:sz="0" w:space="0" w:color="auto"/>
                            <w:bottom w:val="none" w:sz="0" w:space="0" w:color="auto"/>
                            <w:right w:val="none" w:sz="0" w:space="0" w:color="auto"/>
                          </w:divBdr>
                          <w:divsChild>
                            <w:div w:id="8847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820399">
      <w:bodyDiv w:val="1"/>
      <w:marLeft w:val="0"/>
      <w:marRight w:val="0"/>
      <w:marTop w:val="0"/>
      <w:marBottom w:val="0"/>
      <w:divBdr>
        <w:top w:val="none" w:sz="0" w:space="0" w:color="auto"/>
        <w:left w:val="none" w:sz="0" w:space="0" w:color="auto"/>
        <w:bottom w:val="none" w:sz="0" w:space="0" w:color="auto"/>
        <w:right w:val="none" w:sz="0" w:space="0" w:color="auto"/>
      </w:divBdr>
      <w:divsChild>
        <w:div w:id="1825465066">
          <w:marLeft w:val="0"/>
          <w:marRight w:val="0"/>
          <w:marTop w:val="0"/>
          <w:marBottom w:val="0"/>
          <w:divBdr>
            <w:top w:val="none" w:sz="0" w:space="0" w:color="auto"/>
            <w:left w:val="none" w:sz="0" w:space="0" w:color="auto"/>
            <w:bottom w:val="none" w:sz="0" w:space="0" w:color="auto"/>
            <w:right w:val="none" w:sz="0" w:space="0" w:color="auto"/>
          </w:divBdr>
          <w:divsChild>
            <w:div w:id="1952474425">
              <w:marLeft w:val="0"/>
              <w:marRight w:val="0"/>
              <w:marTop w:val="0"/>
              <w:marBottom w:val="0"/>
              <w:divBdr>
                <w:top w:val="none" w:sz="0" w:space="0" w:color="auto"/>
                <w:left w:val="none" w:sz="0" w:space="0" w:color="auto"/>
                <w:bottom w:val="none" w:sz="0" w:space="0" w:color="auto"/>
                <w:right w:val="none" w:sz="0" w:space="0" w:color="auto"/>
              </w:divBdr>
              <w:divsChild>
                <w:div w:id="1233202622">
                  <w:marLeft w:val="0"/>
                  <w:marRight w:val="0"/>
                  <w:marTop w:val="0"/>
                  <w:marBottom w:val="0"/>
                  <w:divBdr>
                    <w:top w:val="none" w:sz="0" w:space="0" w:color="auto"/>
                    <w:left w:val="none" w:sz="0" w:space="0" w:color="auto"/>
                    <w:bottom w:val="none" w:sz="0" w:space="0" w:color="auto"/>
                    <w:right w:val="none" w:sz="0" w:space="0" w:color="auto"/>
                  </w:divBdr>
                  <w:divsChild>
                    <w:div w:id="1424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4194">
      <w:bodyDiv w:val="1"/>
      <w:marLeft w:val="0"/>
      <w:marRight w:val="0"/>
      <w:marTop w:val="0"/>
      <w:marBottom w:val="0"/>
      <w:divBdr>
        <w:top w:val="none" w:sz="0" w:space="0" w:color="auto"/>
        <w:left w:val="none" w:sz="0" w:space="0" w:color="auto"/>
        <w:bottom w:val="none" w:sz="0" w:space="0" w:color="auto"/>
        <w:right w:val="none" w:sz="0" w:space="0" w:color="auto"/>
      </w:divBdr>
      <w:divsChild>
        <w:div w:id="846556250">
          <w:marLeft w:val="0"/>
          <w:marRight w:val="0"/>
          <w:marTop w:val="0"/>
          <w:marBottom w:val="0"/>
          <w:divBdr>
            <w:top w:val="none" w:sz="0" w:space="0" w:color="auto"/>
            <w:left w:val="none" w:sz="0" w:space="0" w:color="auto"/>
            <w:bottom w:val="none" w:sz="0" w:space="0" w:color="auto"/>
            <w:right w:val="none" w:sz="0" w:space="0" w:color="auto"/>
          </w:divBdr>
          <w:divsChild>
            <w:div w:id="1167090556">
              <w:marLeft w:val="0"/>
              <w:marRight w:val="0"/>
              <w:marTop w:val="0"/>
              <w:marBottom w:val="0"/>
              <w:divBdr>
                <w:top w:val="none" w:sz="0" w:space="0" w:color="auto"/>
                <w:left w:val="none" w:sz="0" w:space="0" w:color="auto"/>
                <w:bottom w:val="none" w:sz="0" w:space="0" w:color="auto"/>
                <w:right w:val="none" w:sz="0" w:space="0" w:color="auto"/>
              </w:divBdr>
              <w:divsChild>
                <w:div w:id="1703749787">
                  <w:marLeft w:val="0"/>
                  <w:marRight w:val="0"/>
                  <w:marTop w:val="0"/>
                  <w:marBottom w:val="0"/>
                  <w:divBdr>
                    <w:top w:val="none" w:sz="0" w:space="0" w:color="auto"/>
                    <w:left w:val="none" w:sz="0" w:space="0" w:color="auto"/>
                    <w:bottom w:val="none" w:sz="0" w:space="0" w:color="auto"/>
                    <w:right w:val="none" w:sz="0" w:space="0" w:color="auto"/>
                  </w:divBdr>
                  <w:divsChild>
                    <w:div w:id="16541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lation.gov.uk/ukpga/1972/70/section/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emeryh</dc:creator>
  <cp:lastModifiedBy>Poole, Rebecca</cp:lastModifiedBy>
  <cp:revision>4</cp:revision>
  <dcterms:created xsi:type="dcterms:W3CDTF">2018-08-13T09:33:00Z</dcterms:created>
  <dcterms:modified xsi:type="dcterms:W3CDTF">2022-10-25T15:58:00Z</dcterms:modified>
</cp:coreProperties>
</file>