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4CD6" w14:textId="124BE234" w:rsidR="00FB1AE6" w:rsidRPr="00FB1AE6" w:rsidRDefault="00FB1AE6" w:rsidP="00FB1AE6">
      <w:pPr>
        <w:rPr>
          <w:rFonts w:ascii="Arial" w:hAnsi="Arial" w:cs="Arial"/>
          <w:b/>
          <w:bCs/>
          <w:sz w:val="20"/>
          <w:szCs w:val="20"/>
        </w:rPr>
      </w:pPr>
      <w:r w:rsidRPr="00FB1AE6">
        <w:rPr>
          <w:rFonts w:ascii="Arial" w:hAnsi="Arial" w:cs="Arial"/>
          <w:b/>
          <w:bCs/>
          <w:sz w:val="20"/>
          <w:szCs w:val="20"/>
        </w:rPr>
        <w:t>S</w:t>
      </w:r>
      <w:r w:rsidRPr="00FB1AE6">
        <w:rPr>
          <w:rFonts w:ascii="Arial" w:hAnsi="Arial" w:cs="Arial"/>
          <w:b/>
          <w:bCs/>
          <w:sz w:val="20"/>
          <w:szCs w:val="20"/>
        </w:rPr>
        <w:t xml:space="preserve">MALL BUSINESS RATE RELIEF APPLICATION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8"/>
        <w:gridCol w:w="2902"/>
        <w:gridCol w:w="4624"/>
      </w:tblGrid>
      <w:tr w:rsidR="00FB1AE6" w:rsidRPr="00FB1AE6" w14:paraId="763A9AC3" w14:textId="77777777" w:rsidTr="00FB1AE6">
        <w:tblPrEx>
          <w:tblCellMar>
            <w:top w:w="0" w:type="dxa"/>
            <w:bottom w:w="0" w:type="dxa"/>
          </w:tblCellMar>
        </w:tblPrEx>
        <w:tc>
          <w:tcPr>
            <w:tcW w:w="10194" w:type="dxa"/>
            <w:gridSpan w:val="3"/>
          </w:tcPr>
          <w:p w14:paraId="5848A6FA"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Ratepayers Details</w:t>
            </w:r>
          </w:p>
        </w:tc>
      </w:tr>
      <w:tr w:rsidR="00FB1AE6" w:rsidRPr="00FB1AE6" w14:paraId="7716D218" w14:textId="77777777" w:rsidTr="00FB1AE6">
        <w:tblPrEx>
          <w:tblCellMar>
            <w:top w:w="0" w:type="dxa"/>
            <w:bottom w:w="0" w:type="dxa"/>
          </w:tblCellMar>
        </w:tblPrEx>
        <w:tc>
          <w:tcPr>
            <w:tcW w:w="10194" w:type="dxa"/>
            <w:gridSpan w:val="3"/>
          </w:tcPr>
          <w:p w14:paraId="37C76267" w14:textId="36D9F5BE" w:rsidR="00FB1AE6" w:rsidRPr="00FB1AE6" w:rsidRDefault="00FB1AE6" w:rsidP="00FB1AE6">
            <w:pPr>
              <w:rPr>
                <w:rFonts w:ascii="Arial" w:hAnsi="Arial" w:cs="Arial"/>
                <w:b/>
                <w:bCs/>
                <w:sz w:val="20"/>
                <w:szCs w:val="20"/>
              </w:rPr>
            </w:pPr>
            <w:r w:rsidRPr="00FB1AE6">
              <w:rPr>
                <w:rFonts w:ascii="Arial" w:hAnsi="Arial" w:cs="Arial"/>
                <w:b/>
                <w:bCs/>
                <w:sz w:val="20"/>
                <w:szCs w:val="20"/>
              </w:rPr>
              <w:t xml:space="preserve">Name: </w:t>
            </w:r>
          </w:p>
        </w:tc>
      </w:tr>
      <w:tr w:rsidR="00FB1AE6" w:rsidRPr="00FB1AE6" w14:paraId="6FD5FCCE" w14:textId="77777777" w:rsidTr="00FB1AE6">
        <w:tblPrEx>
          <w:tblCellMar>
            <w:top w:w="0" w:type="dxa"/>
            <w:bottom w:w="0" w:type="dxa"/>
          </w:tblCellMar>
        </w:tblPrEx>
        <w:tc>
          <w:tcPr>
            <w:tcW w:w="10194" w:type="dxa"/>
            <w:gridSpan w:val="3"/>
          </w:tcPr>
          <w:p w14:paraId="4186EA44"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Address:</w:t>
            </w:r>
          </w:p>
        </w:tc>
      </w:tr>
      <w:tr w:rsidR="00FB1AE6" w:rsidRPr="00FB1AE6" w14:paraId="491927F9" w14:textId="77777777" w:rsidTr="00FB1AE6">
        <w:tblPrEx>
          <w:tblCellMar>
            <w:top w:w="0" w:type="dxa"/>
            <w:bottom w:w="0" w:type="dxa"/>
          </w:tblCellMar>
        </w:tblPrEx>
        <w:tc>
          <w:tcPr>
            <w:tcW w:w="10194" w:type="dxa"/>
            <w:gridSpan w:val="3"/>
          </w:tcPr>
          <w:p w14:paraId="7F505D53" w14:textId="77777777" w:rsidR="00FB1AE6" w:rsidRPr="00FB1AE6" w:rsidRDefault="00FB1AE6" w:rsidP="00FB1AE6">
            <w:pPr>
              <w:rPr>
                <w:rFonts w:ascii="Arial" w:hAnsi="Arial" w:cs="Arial"/>
                <w:b/>
                <w:bCs/>
                <w:sz w:val="20"/>
                <w:szCs w:val="20"/>
              </w:rPr>
            </w:pPr>
          </w:p>
        </w:tc>
      </w:tr>
      <w:tr w:rsidR="00FB1AE6" w:rsidRPr="00FB1AE6" w14:paraId="48A7BAF5" w14:textId="77777777" w:rsidTr="00FB1AE6">
        <w:tblPrEx>
          <w:tblCellMar>
            <w:top w:w="0" w:type="dxa"/>
            <w:bottom w:w="0" w:type="dxa"/>
          </w:tblCellMar>
        </w:tblPrEx>
        <w:tc>
          <w:tcPr>
            <w:tcW w:w="2668" w:type="dxa"/>
          </w:tcPr>
          <w:p w14:paraId="73992D39"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Fax no:</w:t>
            </w:r>
          </w:p>
          <w:p w14:paraId="5668E1A9" w14:textId="77777777" w:rsidR="00FB1AE6" w:rsidRPr="00FB1AE6" w:rsidRDefault="00FB1AE6" w:rsidP="00FB1AE6">
            <w:pPr>
              <w:rPr>
                <w:rFonts w:ascii="Arial" w:hAnsi="Arial" w:cs="Arial"/>
                <w:b/>
                <w:bCs/>
                <w:sz w:val="20"/>
                <w:szCs w:val="20"/>
              </w:rPr>
            </w:pPr>
          </w:p>
        </w:tc>
        <w:tc>
          <w:tcPr>
            <w:tcW w:w="2902" w:type="dxa"/>
          </w:tcPr>
          <w:p w14:paraId="10A5F746"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Tel no:</w:t>
            </w:r>
          </w:p>
        </w:tc>
        <w:tc>
          <w:tcPr>
            <w:tcW w:w="4624" w:type="dxa"/>
          </w:tcPr>
          <w:p w14:paraId="4A0BFAF7"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Email address:</w:t>
            </w:r>
          </w:p>
        </w:tc>
      </w:tr>
    </w:tbl>
    <w:p w14:paraId="7FD90FE2"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Please enter the full address of the property for which relief is sought-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FB1AE6" w:rsidRPr="00FB1AE6" w14:paraId="439E42FB" w14:textId="77777777" w:rsidTr="00FB1AE6">
        <w:tblPrEx>
          <w:tblCellMar>
            <w:top w:w="0" w:type="dxa"/>
            <w:bottom w:w="0" w:type="dxa"/>
          </w:tblCellMar>
        </w:tblPrEx>
        <w:tc>
          <w:tcPr>
            <w:tcW w:w="10194" w:type="dxa"/>
          </w:tcPr>
          <w:p w14:paraId="45435846"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 xml:space="preserve">Address for relief: </w:t>
            </w:r>
          </w:p>
        </w:tc>
      </w:tr>
      <w:tr w:rsidR="00FB1AE6" w:rsidRPr="00FB1AE6" w14:paraId="2605E4FC" w14:textId="77777777" w:rsidTr="00FB1AE6">
        <w:tblPrEx>
          <w:tblCellMar>
            <w:top w:w="0" w:type="dxa"/>
            <w:bottom w:w="0" w:type="dxa"/>
          </w:tblCellMar>
        </w:tblPrEx>
        <w:tc>
          <w:tcPr>
            <w:tcW w:w="10194" w:type="dxa"/>
          </w:tcPr>
          <w:p w14:paraId="297C70F3" w14:textId="77777777" w:rsidR="00FB1AE6" w:rsidRPr="00FB1AE6" w:rsidRDefault="00FB1AE6" w:rsidP="00FB1AE6">
            <w:pPr>
              <w:rPr>
                <w:rFonts w:ascii="Arial" w:hAnsi="Arial" w:cs="Arial"/>
                <w:b/>
                <w:bCs/>
                <w:sz w:val="20"/>
                <w:szCs w:val="20"/>
              </w:rPr>
            </w:pPr>
          </w:p>
        </w:tc>
      </w:tr>
      <w:tr w:rsidR="00FB1AE6" w:rsidRPr="00FB1AE6" w14:paraId="4A8DD084" w14:textId="77777777" w:rsidTr="00FB1AE6">
        <w:tblPrEx>
          <w:tblCellMar>
            <w:top w:w="0" w:type="dxa"/>
            <w:bottom w:w="0" w:type="dxa"/>
          </w:tblCellMar>
        </w:tblPrEx>
        <w:tc>
          <w:tcPr>
            <w:tcW w:w="10194" w:type="dxa"/>
          </w:tcPr>
          <w:p w14:paraId="4B2E4EB2" w14:textId="77777777" w:rsidR="00FB1AE6" w:rsidRPr="00FB1AE6" w:rsidRDefault="00FB1AE6" w:rsidP="00FB1AE6">
            <w:pPr>
              <w:rPr>
                <w:rFonts w:ascii="Arial" w:hAnsi="Arial" w:cs="Arial"/>
                <w:b/>
                <w:bCs/>
                <w:sz w:val="20"/>
                <w:szCs w:val="20"/>
              </w:rPr>
            </w:pPr>
          </w:p>
        </w:tc>
      </w:tr>
    </w:tbl>
    <w:p w14:paraId="55F69FF9"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Please enter date for which relief is sought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FB1AE6" w:rsidRPr="00FB1AE6" w14:paraId="3E52FF5E" w14:textId="77777777" w:rsidTr="00305A73">
        <w:tblPrEx>
          <w:tblCellMar>
            <w:top w:w="0" w:type="dxa"/>
            <w:bottom w:w="0" w:type="dxa"/>
          </w:tblCellMar>
        </w:tblPrEx>
        <w:tc>
          <w:tcPr>
            <w:tcW w:w="10456" w:type="dxa"/>
          </w:tcPr>
          <w:p w14:paraId="24E34822" w14:textId="0431B106" w:rsidR="00FB1AE6" w:rsidRPr="00FB1AE6" w:rsidRDefault="00FB1AE6" w:rsidP="00FB1AE6">
            <w:pPr>
              <w:rPr>
                <w:rFonts w:ascii="Arial" w:hAnsi="Arial" w:cs="Arial"/>
                <w:b/>
                <w:bCs/>
                <w:sz w:val="20"/>
                <w:szCs w:val="20"/>
              </w:rPr>
            </w:pPr>
            <w:r w:rsidRPr="00FB1AE6">
              <w:rPr>
                <w:rFonts w:ascii="Arial" w:hAnsi="Arial" w:cs="Arial"/>
                <w:b/>
                <w:bCs/>
                <w:sz w:val="20"/>
                <w:szCs w:val="20"/>
              </w:rPr>
              <w:t>Date from:</w:t>
            </w:r>
          </w:p>
        </w:tc>
      </w:tr>
    </w:tbl>
    <w:p w14:paraId="3FEDDDF8" w14:textId="7DC503DA" w:rsidR="00FB1AE6" w:rsidRPr="00FB1AE6" w:rsidRDefault="00FB1AE6" w:rsidP="00FB1AE6">
      <w:pPr>
        <w:rPr>
          <w:rFonts w:ascii="Arial" w:hAnsi="Arial" w:cs="Arial"/>
          <w:b/>
          <w:bCs/>
          <w:sz w:val="20"/>
          <w:szCs w:val="20"/>
        </w:rPr>
      </w:pPr>
      <w:r w:rsidRPr="00FB1AE6">
        <w:rPr>
          <w:rFonts w:ascii="Arial" w:hAnsi="Arial" w:cs="Arial"/>
          <w:b/>
          <w:bCs/>
          <w:sz w:val="20"/>
          <w:szCs w:val="20"/>
        </w:rPr>
        <w:t>Do you occupy any other business premises in England</w:t>
      </w:r>
      <w:r w:rsidRPr="00FB1AE6">
        <w:rPr>
          <w:rFonts w:ascii="Arial" w:hAnsi="Arial" w:cs="Arial"/>
          <w:b/>
          <w:bCs/>
          <w:sz w:val="20"/>
          <w:szCs w:val="20"/>
        </w:rPr>
        <w:tab/>
      </w:r>
      <w:r w:rsidRPr="00FB1AE6">
        <w:rPr>
          <w:rFonts w:ascii="Arial" w:hAnsi="Arial" w:cs="Arial"/>
          <w:b/>
          <w:bCs/>
          <w:sz w:val="20"/>
          <w:szCs w:val="20"/>
        </w:rPr>
        <w:tab/>
      </w:r>
      <w:r w:rsidRPr="00FB1AE6">
        <w:rPr>
          <w:rFonts w:ascii="Arial" w:hAnsi="Arial" w:cs="Arial"/>
          <w:b/>
          <w:bCs/>
          <w:sz w:val="20"/>
          <w:szCs w:val="20"/>
        </w:rPr>
        <w:tab/>
      </w:r>
      <w:r w:rsidRPr="00FB1AE6">
        <w:rPr>
          <w:rFonts w:ascii="Arial" w:hAnsi="Arial" w:cs="Arial"/>
          <w:b/>
          <w:bCs/>
          <w:sz w:val="20"/>
          <w:szCs w:val="20"/>
        </w:rPr>
        <w:tab/>
        <w:t>Yes/No</w:t>
      </w:r>
      <w:r w:rsidRPr="00FB1AE6">
        <w:rPr>
          <w:rFonts w:ascii="Arial" w:hAnsi="Arial" w:cs="Arial"/>
          <w:sz w:val="20"/>
          <w:szCs w:val="20"/>
        </w:rPr>
        <w:t>(Please read the note overleaf on occupying more than one property) If yes, please provide details in the box below. Continue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3"/>
        <w:gridCol w:w="5301"/>
      </w:tblGrid>
      <w:tr w:rsidR="00FB1AE6" w:rsidRPr="00FB1AE6" w14:paraId="156A9FF5" w14:textId="77777777" w:rsidTr="00FB1AE6">
        <w:tblPrEx>
          <w:tblCellMar>
            <w:top w:w="0" w:type="dxa"/>
            <w:bottom w:w="0" w:type="dxa"/>
          </w:tblCellMar>
        </w:tblPrEx>
        <w:tc>
          <w:tcPr>
            <w:tcW w:w="4893" w:type="dxa"/>
          </w:tcPr>
          <w:p w14:paraId="16D39FDD"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Full Postal Address</w:t>
            </w:r>
          </w:p>
        </w:tc>
        <w:tc>
          <w:tcPr>
            <w:tcW w:w="5301" w:type="dxa"/>
          </w:tcPr>
          <w:p w14:paraId="4FA8AFBC"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Rateable Value (if known)</w:t>
            </w:r>
          </w:p>
        </w:tc>
      </w:tr>
      <w:tr w:rsidR="00FB1AE6" w:rsidRPr="00FB1AE6" w14:paraId="5904F7ED" w14:textId="77777777" w:rsidTr="00FB1AE6">
        <w:tblPrEx>
          <w:tblCellMar>
            <w:top w:w="0" w:type="dxa"/>
            <w:bottom w:w="0" w:type="dxa"/>
          </w:tblCellMar>
        </w:tblPrEx>
        <w:tc>
          <w:tcPr>
            <w:tcW w:w="4893" w:type="dxa"/>
          </w:tcPr>
          <w:p w14:paraId="3687399E" w14:textId="77777777" w:rsidR="00FB1AE6" w:rsidRPr="00FB1AE6" w:rsidRDefault="00FB1AE6" w:rsidP="00FB1AE6">
            <w:pPr>
              <w:rPr>
                <w:rFonts w:ascii="Arial" w:hAnsi="Arial" w:cs="Arial"/>
                <w:sz w:val="20"/>
                <w:szCs w:val="20"/>
              </w:rPr>
            </w:pPr>
          </w:p>
          <w:p w14:paraId="7CBA4467" w14:textId="77777777" w:rsidR="00FB1AE6" w:rsidRPr="00FB1AE6" w:rsidRDefault="00FB1AE6" w:rsidP="00FB1AE6">
            <w:pPr>
              <w:rPr>
                <w:rFonts w:ascii="Arial" w:hAnsi="Arial" w:cs="Arial"/>
                <w:sz w:val="20"/>
                <w:szCs w:val="20"/>
              </w:rPr>
            </w:pPr>
          </w:p>
        </w:tc>
        <w:tc>
          <w:tcPr>
            <w:tcW w:w="5301" w:type="dxa"/>
          </w:tcPr>
          <w:p w14:paraId="10DF13BD" w14:textId="77777777" w:rsidR="00FB1AE6" w:rsidRPr="00FB1AE6" w:rsidRDefault="00FB1AE6" w:rsidP="00FB1AE6">
            <w:pPr>
              <w:rPr>
                <w:rFonts w:ascii="Arial" w:hAnsi="Arial" w:cs="Arial"/>
                <w:sz w:val="20"/>
                <w:szCs w:val="20"/>
              </w:rPr>
            </w:pPr>
          </w:p>
        </w:tc>
      </w:tr>
      <w:tr w:rsidR="00FB1AE6" w:rsidRPr="00FB1AE6" w14:paraId="011C226A" w14:textId="77777777" w:rsidTr="00FB1AE6">
        <w:tblPrEx>
          <w:tblCellMar>
            <w:top w:w="0" w:type="dxa"/>
            <w:bottom w:w="0" w:type="dxa"/>
          </w:tblCellMar>
        </w:tblPrEx>
        <w:tc>
          <w:tcPr>
            <w:tcW w:w="4893" w:type="dxa"/>
          </w:tcPr>
          <w:p w14:paraId="2EA816C4" w14:textId="77777777" w:rsidR="00FB1AE6" w:rsidRPr="00FB1AE6" w:rsidRDefault="00FB1AE6" w:rsidP="00FB1AE6">
            <w:pPr>
              <w:rPr>
                <w:rFonts w:ascii="Arial" w:hAnsi="Arial" w:cs="Arial"/>
                <w:sz w:val="20"/>
                <w:szCs w:val="20"/>
              </w:rPr>
            </w:pPr>
          </w:p>
          <w:p w14:paraId="017E249D" w14:textId="77777777" w:rsidR="00FB1AE6" w:rsidRPr="00FB1AE6" w:rsidRDefault="00FB1AE6" w:rsidP="00FB1AE6">
            <w:pPr>
              <w:rPr>
                <w:rFonts w:ascii="Arial" w:hAnsi="Arial" w:cs="Arial"/>
                <w:sz w:val="20"/>
                <w:szCs w:val="20"/>
              </w:rPr>
            </w:pPr>
          </w:p>
        </w:tc>
        <w:tc>
          <w:tcPr>
            <w:tcW w:w="5301" w:type="dxa"/>
          </w:tcPr>
          <w:p w14:paraId="5F4F527B" w14:textId="77777777" w:rsidR="00FB1AE6" w:rsidRPr="00FB1AE6" w:rsidRDefault="00FB1AE6" w:rsidP="00FB1AE6">
            <w:pPr>
              <w:rPr>
                <w:rFonts w:ascii="Arial" w:hAnsi="Arial" w:cs="Arial"/>
                <w:sz w:val="20"/>
                <w:szCs w:val="20"/>
              </w:rPr>
            </w:pPr>
          </w:p>
        </w:tc>
      </w:tr>
    </w:tbl>
    <w:p w14:paraId="2F60E066" w14:textId="77777777" w:rsidR="00FB1AE6" w:rsidRPr="00FB1AE6" w:rsidRDefault="00FB1AE6" w:rsidP="00FB1AE6">
      <w:pPr>
        <w:rPr>
          <w:rFonts w:ascii="Arial" w:hAnsi="Arial" w:cs="Arial"/>
          <w:sz w:val="20"/>
          <w:szCs w:val="20"/>
        </w:rPr>
      </w:pPr>
      <w:r w:rsidRPr="00FB1AE6">
        <w:rPr>
          <w:rFonts w:ascii="Arial" w:hAnsi="Arial" w:cs="Arial"/>
          <w:sz w:val="20"/>
          <w:szCs w:val="20"/>
        </w:rPr>
        <w:t>A condition of entitlement is that the ratepayer must notify the billing authority of particular changes in circumstances that may affect their relief within four weeks starting on the day after the change occurred.  (see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gridCol w:w="1354"/>
        <w:gridCol w:w="1342"/>
        <w:gridCol w:w="4790"/>
      </w:tblGrid>
      <w:tr w:rsidR="00FB1AE6" w:rsidRPr="00FB1AE6" w14:paraId="291020F0" w14:textId="77777777" w:rsidTr="00FB1AE6">
        <w:tblPrEx>
          <w:tblCellMar>
            <w:top w:w="0" w:type="dxa"/>
            <w:bottom w:w="0" w:type="dxa"/>
          </w:tblCellMar>
        </w:tblPrEx>
        <w:tc>
          <w:tcPr>
            <w:tcW w:w="10194" w:type="dxa"/>
            <w:gridSpan w:val="4"/>
          </w:tcPr>
          <w:p w14:paraId="79EC07F9" w14:textId="77777777" w:rsidR="00FB1AE6" w:rsidRPr="00FB1AE6" w:rsidRDefault="00FB1AE6" w:rsidP="00FB1AE6">
            <w:pPr>
              <w:rPr>
                <w:rFonts w:ascii="Arial" w:hAnsi="Arial" w:cs="Arial"/>
                <w:sz w:val="20"/>
                <w:szCs w:val="20"/>
              </w:rPr>
            </w:pPr>
            <w:r w:rsidRPr="00FB1AE6">
              <w:rPr>
                <w:rFonts w:ascii="Arial" w:hAnsi="Arial" w:cs="Arial"/>
                <w:b/>
                <w:bCs/>
                <w:sz w:val="20"/>
                <w:szCs w:val="20"/>
              </w:rPr>
              <w:t>Declaration: I declare that the information given is correct to the best of my knowledge and belief.</w:t>
            </w:r>
            <w:r w:rsidRPr="00FB1AE6">
              <w:rPr>
                <w:rFonts w:ascii="Arial" w:hAnsi="Arial" w:cs="Arial"/>
                <w:sz w:val="20"/>
                <w:szCs w:val="20"/>
              </w:rPr>
              <w:t xml:space="preserve"> </w:t>
            </w:r>
          </w:p>
          <w:p w14:paraId="6EFADD7E" w14:textId="77777777" w:rsidR="00FB1AE6" w:rsidRPr="00FB1AE6" w:rsidRDefault="00FB1AE6" w:rsidP="00FB1AE6">
            <w:pPr>
              <w:rPr>
                <w:rFonts w:ascii="Arial" w:hAnsi="Arial" w:cs="Arial"/>
                <w:sz w:val="20"/>
                <w:szCs w:val="20"/>
              </w:rPr>
            </w:pPr>
          </w:p>
        </w:tc>
      </w:tr>
      <w:tr w:rsidR="00FB1AE6" w:rsidRPr="00FB1AE6" w14:paraId="6D69F63E" w14:textId="77777777" w:rsidTr="00FB1AE6">
        <w:tblPrEx>
          <w:tblCellMar>
            <w:top w:w="0" w:type="dxa"/>
            <w:bottom w:w="0" w:type="dxa"/>
          </w:tblCellMar>
        </w:tblPrEx>
        <w:tc>
          <w:tcPr>
            <w:tcW w:w="2708" w:type="dxa"/>
          </w:tcPr>
          <w:p w14:paraId="6ACC5BE5" w14:textId="77777777" w:rsidR="00FB1AE6" w:rsidRPr="00FB1AE6" w:rsidRDefault="00FB1AE6" w:rsidP="00FB1AE6">
            <w:pPr>
              <w:rPr>
                <w:rFonts w:ascii="Arial" w:hAnsi="Arial" w:cs="Arial"/>
                <w:sz w:val="20"/>
                <w:szCs w:val="20"/>
              </w:rPr>
            </w:pPr>
            <w:r w:rsidRPr="00FB1AE6">
              <w:rPr>
                <w:rFonts w:ascii="Arial" w:hAnsi="Arial" w:cs="Arial"/>
                <w:sz w:val="20"/>
                <w:szCs w:val="20"/>
              </w:rPr>
              <w:t>Signed</w:t>
            </w:r>
          </w:p>
          <w:p w14:paraId="1D73D135" w14:textId="77777777" w:rsidR="00FB1AE6" w:rsidRPr="00FB1AE6" w:rsidRDefault="00FB1AE6" w:rsidP="00FB1AE6">
            <w:pPr>
              <w:rPr>
                <w:rFonts w:ascii="Arial" w:hAnsi="Arial" w:cs="Arial"/>
                <w:sz w:val="20"/>
                <w:szCs w:val="20"/>
              </w:rPr>
            </w:pPr>
          </w:p>
        </w:tc>
        <w:tc>
          <w:tcPr>
            <w:tcW w:w="2696" w:type="dxa"/>
            <w:gridSpan w:val="2"/>
          </w:tcPr>
          <w:p w14:paraId="7F2D8F8E" w14:textId="77777777" w:rsidR="00FB1AE6" w:rsidRPr="00FB1AE6" w:rsidRDefault="00FB1AE6" w:rsidP="00FB1AE6">
            <w:pPr>
              <w:rPr>
                <w:rFonts w:ascii="Arial" w:hAnsi="Arial" w:cs="Arial"/>
                <w:sz w:val="20"/>
                <w:szCs w:val="20"/>
              </w:rPr>
            </w:pPr>
            <w:r w:rsidRPr="00FB1AE6">
              <w:rPr>
                <w:rFonts w:ascii="Arial" w:hAnsi="Arial" w:cs="Arial"/>
                <w:sz w:val="20"/>
                <w:szCs w:val="20"/>
              </w:rPr>
              <w:t>Date</w:t>
            </w:r>
          </w:p>
        </w:tc>
        <w:tc>
          <w:tcPr>
            <w:tcW w:w="4790" w:type="dxa"/>
          </w:tcPr>
          <w:p w14:paraId="11E9285C" w14:textId="77777777" w:rsidR="00FB1AE6" w:rsidRPr="00FB1AE6" w:rsidRDefault="00FB1AE6" w:rsidP="00FB1AE6">
            <w:pPr>
              <w:rPr>
                <w:rFonts w:ascii="Arial" w:hAnsi="Arial" w:cs="Arial"/>
                <w:sz w:val="20"/>
                <w:szCs w:val="20"/>
              </w:rPr>
            </w:pPr>
            <w:r w:rsidRPr="00FB1AE6">
              <w:rPr>
                <w:rFonts w:ascii="Arial" w:hAnsi="Arial" w:cs="Arial"/>
                <w:sz w:val="20"/>
                <w:szCs w:val="20"/>
              </w:rPr>
              <w:t>Daytime Telephone No</w:t>
            </w:r>
          </w:p>
          <w:p w14:paraId="38BE08F2" w14:textId="77777777" w:rsidR="00FB1AE6" w:rsidRPr="00FB1AE6" w:rsidRDefault="00FB1AE6" w:rsidP="00FB1AE6">
            <w:pPr>
              <w:rPr>
                <w:rFonts w:ascii="Arial" w:hAnsi="Arial" w:cs="Arial"/>
                <w:sz w:val="20"/>
                <w:szCs w:val="20"/>
              </w:rPr>
            </w:pPr>
          </w:p>
        </w:tc>
      </w:tr>
      <w:tr w:rsidR="00FB1AE6" w:rsidRPr="00FB1AE6" w14:paraId="59E90EF4" w14:textId="77777777" w:rsidTr="00FB1AE6">
        <w:tblPrEx>
          <w:tblCellMar>
            <w:top w:w="0" w:type="dxa"/>
            <w:bottom w:w="0" w:type="dxa"/>
          </w:tblCellMar>
        </w:tblPrEx>
        <w:tc>
          <w:tcPr>
            <w:tcW w:w="4062" w:type="dxa"/>
            <w:gridSpan w:val="2"/>
          </w:tcPr>
          <w:p w14:paraId="1518898F" w14:textId="77777777" w:rsidR="00FB1AE6" w:rsidRPr="00FB1AE6" w:rsidRDefault="00FB1AE6" w:rsidP="00FB1AE6">
            <w:pPr>
              <w:rPr>
                <w:rFonts w:ascii="Arial" w:hAnsi="Arial" w:cs="Arial"/>
                <w:sz w:val="20"/>
                <w:szCs w:val="20"/>
              </w:rPr>
            </w:pPr>
            <w:r w:rsidRPr="00FB1AE6">
              <w:rPr>
                <w:rFonts w:ascii="Arial" w:hAnsi="Arial" w:cs="Arial"/>
                <w:sz w:val="20"/>
                <w:szCs w:val="20"/>
              </w:rPr>
              <w:t>Print Name</w:t>
            </w:r>
          </w:p>
          <w:p w14:paraId="6D1F2644" w14:textId="77777777" w:rsidR="00FB1AE6" w:rsidRPr="00FB1AE6" w:rsidRDefault="00FB1AE6" w:rsidP="00FB1AE6">
            <w:pPr>
              <w:rPr>
                <w:rFonts w:ascii="Arial" w:hAnsi="Arial" w:cs="Arial"/>
                <w:sz w:val="20"/>
                <w:szCs w:val="20"/>
              </w:rPr>
            </w:pPr>
          </w:p>
        </w:tc>
        <w:tc>
          <w:tcPr>
            <w:tcW w:w="6132" w:type="dxa"/>
            <w:gridSpan w:val="2"/>
          </w:tcPr>
          <w:p w14:paraId="49FBBF5C" w14:textId="7AE2AAB4" w:rsidR="00FB1AE6" w:rsidRPr="00FB1AE6" w:rsidRDefault="00FB1AE6" w:rsidP="00FB1AE6">
            <w:pPr>
              <w:rPr>
                <w:rFonts w:ascii="Arial" w:hAnsi="Arial" w:cs="Arial"/>
                <w:sz w:val="20"/>
                <w:szCs w:val="20"/>
              </w:rPr>
            </w:pPr>
            <w:r w:rsidRPr="00FB1AE6">
              <w:rPr>
                <w:rFonts w:ascii="Arial" w:hAnsi="Arial" w:cs="Arial"/>
                <w:sz w:val="20"/>
                <w:szCs w:val="20"/>
              </w:rPr>
              <w:t>Capacity in which signed (e.g. Ratepayer, partner, director or any other capacity)</w:t>
            </w:r>
          </w:p>
        </w:tc>
      </w:tr>
    </w:tbl>
    <w:p w14:paraId="7BD8F732" w14:textId="4302387A" w:rsidR="00FB1AE6" w:rsidRPr="00FB1AE6" w:rsidRDefault="00FB1AE6" w:rsidP="00FB1AE6">
      <w:pPr>
        <w:rPr>
          <w:rFonts w:ascii="Arial" w:hAnsi="Arial" w:cs="Arial"/>
          <w:sz w:val="20"/>
          <w:szCs w:val="20"/>
        </w:rPr>
      </w:pPr>
      <w:r w:rsidRPr="00FB1AE6">
        <w:rPr>
          <w:rFonts w:ascii="Arial" w:hAnsi="Arial" w:cs="Arial"/>
          <w:b/>
          <w:bCs/>
          <w:sz w:val="20"/>
          <w:szCs w:val="20"/>
        </w:rPr>
        <w:t>Please note: It is a criminal offence for a ratepayer to give false information when making an application for small business rate relief</w:t>
      </w:r>
      <w:r w:rsidRPr="00FB1AE6">
        <w:rPr>
          <w:rFonts w:ascii="Arial" w:hAnsi="Arial" w:cs="Arial"/>
          <w:b/>
          <w:bCs/>
          <w:sz w:val="20"/>
          <w:szCs w:val="20"/>
        </w:rPr>
        <w:t xml:space="preserve">. </w:t>
      </w:r>
      <w:r w:rsidRPr="00FB1AE6">
        <w:rPr>
          <w:rFonts w:ascii="Arial" w:hAnsi="Arial" w:cs="Arial"/>
          <w:sz w:val="20"/>
          <w:szCs w:val="20"/>
        </w:rPr>
        <w:t>The information you provide on this form is subject to the provisions of the Data Protection Act 1998. The details may be shared with other departments within the council in accordance with the provisions of the Act.</w:t>
      </w:r>
    </w:p>
    <w:p w14:paraId="4D904641" w14:textId="77777777" w:rsidR="00FB1AE6" w:rsidRDefault="00FB1AE6" w:rsidP="00FB1AE6">
      <w:pPr>
        <w:rPr>
          <w:rFonts w:ascii="Arial" w:hAnsi="Arial" w:cs="Arial"/>
          <w:b/>
          <w:bCs/>
          <w:sz w:val="20"/>
          <w:szCs w:val="20"/>
        </w:rPr>
      </w:pPr>
    </w:p>
    <w:p w14:paraId="3DD7E40F" w14:textId="77777777" w:rsidR="00FB1AE6" w:rsidRPr="00FB1AE6" w:rsidRDefault="00FB1AE6" w:rsidP="00FB1AE6">
      <w:pPr>
        <w:rPr>
          <w:rFonts w:ascii="Arial" w:hAnsi="Arial" w:cs="Arial"/>
          <w:b/>
          <w:bCs/>
          <w:sz w:val="20"/>
          <w:szCs w:val="20"/>
        </w:rPr>
      </w:pPr>
    </w:p>
    <w:p w14:paraId="70E002BE" w14:textId="77777777" w:rsidR="00FB1AE6" w:rsidRPr="00FB1AE6" w:rsidRDefault="00FB1AE6" w:rsidP="00FB1AE6">
      <w:pPr>
        <w:rPr>
          <w:rFonts w:ascii="Arial" w:hAnsi="Arial" w:cs="Arial"/>
          <w:sz w:val="20"/>
          <w:szCs w:val="20"/>
        </w:rPr>
      </w:pPr>
    </w:p>
    <w:p w14:paraId="5CD61733" w14:textId="473D84F3" w:rsidR="00FB1AE6" w:rsidRPr="00FB1AE6" w:rsidRDefault="00FB1AE6" w:rsidP="00FB1AE6">
      <w:pPr>
        <w:rPr>
          <w:rFonts w:ascii="Arial" w:hAnsi="Arial" w:cs="Arial"/>
          <w:b/>
          <w:bCs/>
          <w:sz w:val="20"/>
          <w:szCs w:val="20"/>
          <w:u w:val="single"/>
        </w:rPr>
      </w:pPr>
      <w:r w:rsidRPr="00FB1AE6">
        <w:rPr>
          <w:rFonts w:ascii="Arial" w:hAnsi="Arial" w:cs="Arial"/>
          <w:b/>
          <w:bCs/>
          <w:sz w:val="20"/>
          <w:szCs w:val="20"/>
          <w:u w:val="single"/>
        </w:rPr>
        <w:lastRenderedPageBreak/>
        <w:t>SMALL BUSINESS RATE RELIEF SCHEME</w:t>
      </w:r>
    </w:p>
    <w:p w14:paraId="1C44FA30"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Eligibility</w:t>
      </w:r>
    </w:p>
    <w:p w14:paraId="1D3EC42E" w14:textId="77777777" w:rsidR="00FB1AE6" w:rsidRPr="00FB1AE6" w:rsidRDefault="00FB1AE6" w:rsidP="00FB1AE6">
      <w:pPr>
        <w:rPr>
          <w:rFonts w:ascii="Arial" w:hAnsi="Arial" w:cs="Arial"/>
          <w:sz w:val="20"/>
          <w:szCs w:val="20"/>
        </w:rPr>
      </w:pPr>
      <w:r w:rsidRPr="00FB1AE6">
        <w:rPr>
          <w:rFonts w:ascii="Arial" w:hAnsi="Arial" w:cs="Arial"/>
          <w:b/>
          <w:bCs/>
          <w:sz w:val="20"/>
          <w:szCs w:val="20"/>
        </w:rPr>
        <w:t>I</w:t>
      </w:r>
      <w:r w:rsidRPr="00FB1AE6">
        <w:rPr>
          <w:rFonts w:ascii="Arial" w:hAnsi="Arial" w:cs="Arial"/>
          <w:sz w:val="20"/>
          <w:szCs w:val="20"/>
        </w:rPr>
        <w:t>f the sole or main property is shown on the rating list with a rateable value which does not exceed £15,000, the ratepayer will receive a percentage reduction in their rates bill for this property of up to a maximum of 100%. For a property with a rateable value of not more than £12,000, the ratepayer will receive a 100% reduction in their rates bill.</w:t>
      </w:r>
    </w:p>
    <w:p w14:paraId="0BF8C9CB" w14:textId="77777777" w:rsidR="00FB1AE6" w:rsidRPr="00FB1AE6" w:rsidRDefault="00FB1AE6" w:rsidP="00FB1AE6">
      <w:pPr>
        <w:rPr>
          <w:rFonts w:ascii="Arial" w:hAnsi="Arial" w:cs="Arial"/>
          <w:sz w:val="20"/>
          <w:szCs w:val="20"/>
        </w:rPr>
      </w:pPr>
      <w:r w:rsidRPr="00FB1AE6">
        <w:rPr>
          <w:rFonts w:ascii="Arial" w:hAnsi="Arial" w:cs="Arial"/>
          <w:sz w:val="20"/>
          <w:szCs w:val="20"/>
        </w:rPr>
        <w:t>Generally, this percentage reduction (relief) is only available to ratepayers who occupy either-</w:t>
      </w:r>
    </w:p>
    <w:p w14:paraId="6262233F" w14:textId="77777777" w:rsidR="00FB1AE6" w:rsidRPr="00FB1AE6" w:rsidRDefault="00FB1AE6" w:rsidP="00FB1AE6">
      <w:pPr>
        <w:rPr>
          <w:rFonts w:ascii="Arial" w:hAnsi="Arial" w:cs="Arial"/>
          <w:sz w:val="20"/>
          <w:szCs w:val="20"/>
        </w:rPr>
      </w:pPr>
      <w:r w:rsidRPr="00FB1AE6">
        <w:rPr>
          <w:rFonts w:ascii="Arial" w:hAnsi="Arial" w:cs="Arial"/>
          <w:sz w:val="20"/>
          <w:szCs w:val="20"/>
        </w:rPr>
        <w:t>(a) one property, or</w:t>
      </w:r>
    </w:p>
    <w:p w14:paraId="69EF120F" w14:textId="77777777" w:rsidR="00FB1AE6" w:rsidRPr="00FB1AE6" w:rsidRDefault="00FB1AE6" w:rsidP="00FB1AE6">
      <w:pPr>
        <w:rPr>
          <w:rFonts w:ascii="Arial" w:hAnsi="Arial" w:cs="Arial"/>
          <w:sz w:val="20"/>
          <w:szCs w:val="20"/>
        </w:rPr>
      </w:pPr>
      <w:r w:rsidRPr="00FB1AE6">
        <w:rPr>
          <w:rFonts w:ascii="Arial" w:hAnsi="Arial" w:cs="Arial"/>
          <w:sz w:val="20"/>
          <w:szCs w:val="20"/>
        </w:rPr>
        <w:t>(b) one main property and other additional properties providing those additional properties each have a rateable value which does not exceed £2,899.</w:t>
      </w:r>
    </w:p>
    <w:p w14:paraId="1394B20D" w14:textId="77777777" w:rsidR="00FB1AE6" w:rsidRPr="00FB1AE6" w:rsidRDefault="00FB1AE6" w:rsidP="00FB1AE6">
      <w:pPr>
        <w:rPr>
          <w:rFonts w:ascii="Arial" w:hAnsi="Arial" w:cs="Arial"/>
          <w:sz w:val="20"/>
          <w:szCs w:val="20"/>
        </w:rPr>
      </w:pPr>
      <w:r w:rsidRPr="00FB1AE6">
        <w:rPr>
          <w:rFonts w:ascii="Arial" w:hAnsi="Arial" w:cs="Arial"/>
          <w:sz w:val="20"/>
          <w:szCs w:val="20"/>
        </w:rPr>
        <w:t>The rateable value of the property mentioned in (a), or the aggregate rateable value of all the properties mentioned in (b), must not exceed £19,999 on each day for which relief is being sought. If the rateable value, or aggregate rateable value, increases above those levels, relief will cease from the day of the increase.</w:t>
      </w:r>
    </w:p>
    <w:p w14:paraId="147BE070" w14:textId="77777777" w:rsidR="00FB1AE6" w:rsidRPr="00FB1AE6" w:rsidRDefault="00FB1AE6" w:rsidP="00FB1AE6">
      <w:pPr>
        <w:rPr>
          <w:rFonts w:ascii="Arial" w:hAnsi="Arial" w:cs="Arial"/>
          <w:sz w:val="20"/>
          <w:szCs w:val="20"/>
        </w:rPr>
      </w:pPr>
      <w:r w:rsidRPr="00FB1AE6">
        <w:rPr>
          <w:rFonts w:ascii="Arial" w:hAnsi="Arial" w:cs="Arial"/>
          <w:b/>
          <w:bCs/>
          <w:sz w:val="20"/>
          <w:szCs w:val="20"/>
        </w:rPr>
        <w:t>Changes in circumstances</w:t>
      </w:r>
    </w:p>
    <w:p w14:paraId="6F5DF3FD" w14:textId="77777777" w:rsidR="00FB1AE6" w:rsidRPr="00FB1AE6" w:rsidRDefault="00FB1AE6" w:rsidP="00FB1AE6">
      <w:pPr>
        <w:rPr>
          <w:rFonts w:ascii="Arial" w:hAnsi="Arial" w:cs="Arial"/>
          <w:sz w:val="20"/>
          <w:szCs w:val="20"/>
        </w:rPr>
      </w:pPr>
      <w:r w:rsidRPr="00FB1AE6">
        <w:rPr>
          <w:rFonts w:ascii="Arial" w:hAnsi="Arial" w:cs="Arial"/>
          <w:sz w:val="20"/>
          <w:szCs w:val="20"/>
        </w:rPr>
        <w:t>A condition of entitlement to relief will be that the ratepayer must notify the billing authority of particular changes in circumstances that may affect their entitlement to the relief, within 4 weeks starting on the day after the change occurred. These changes are: increases in the rateable value of a property occupied by the ratepayer which is not in the area of the billing authority granting Small Business Rate Relief – these changes will have to be notified in writing; and the ratepayer coming into occupation of any property which is not mentioned in their application for relief – these changes will have to be notified through a fresh application for Small Business Rate Relief.</w:t>
      </w:r>
    </w:p>
    <w:p w14:paraId="02661FCF" w14:textId="77777777" w:rsidR="00FB1AE6" w:rsidRPr="00FB1AE6" w:rsidRDefault="00FB1AE6" w:rsidP="00FB1AE6">
      <w:pPr>
        <w:rPr>
          <w:rFonts w:ascii="Arial" w:hAnsi="Arial" w:cs="Arial"/>
          <w:sz w:val="20"/>
          <w:szCs w:val="20"/>
        </w:rPr>
      </w:pPr>
      <w:r w:rsidRPr="00FB1AE6">
        <w:rPr>
          <w:rFonts w:ascii="Arial" w:hAnsi="Arial" w:cs="Arial"/>
          <w:sz w:val="20"/>
          <w:szCs w:val="20"/>
        </w:rPr>
        <w:t>Failure to notify the billing authority will mean that the ratepayer will no longer be entitled to the relief.</w:t>
      </w:r>
    </w:p>
    <w:p w14:paraId="5E6CF8E7"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Guide to amount of small business rate relief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8218"/>
      </w:tblGrid>
      <w:tr w:rsidR="00FB1AE6" w:rsidRPr="00FB1AE6" w14:paraId="4AE955E6" w14:textId="77777777" w:rsidTr="00305A73">
        <w:tblPrEx>
          <w:tblCellMar>
            <w:top w:w="0" w:type="dxa"/>
            <w:bottom w:w="0" w:type="dxa"/>
          </w:tblCellMar>
        </w:tblPrEx>
        <w:tc>
          <w:tcPr>
            <w:tcW w:w="1965" w:type="dxa"/>
          </w:tcPr>
          <w:p w14:paraId="15959155" w14:textId="77777777" w:rsidR="00FB1AE6" w:rsidRPr="00FB1AE6" w:rsidRDefault="00FB1AE6" w:rsidP="00FB1AE6">
            <w:pPr>
              <w:rPr>
                <w:rFonts w:ascii="Arial" w:hAnsi="Arial" w:cs="Arial"/>
                <w:sz w:val="20"/>
                <w:szCs w:val="20"/>
                <w:u w:val="single"/>
                <w:lang w:val="en-US"/>
              </w:rPr>
            </w:pPr>
            <w:r w:rsidRPr="00FB1AE6">
              <w:rPr>
                <w:rFonts w:ascii="Arial" w:hAnsi="Arial" w:cs="Arial"/>
                <w:sz w:val="20"/>
                <w:szCs w:val="20"/>
                <w:u w:val="single"/>
                <w:lang w:val="en-US"/>
              </w:rPr>
              <w:t>RV</w:t>
            </w:r>
          </w:p>
        </w:tc>
        <w:tc>
          <w:tcPr>
            <w:tcW w:w="9015" w:type="dxa"/>
          </w:tcPr>
          <w:p w14:paraId="25F5346F"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Relief</w:t>
            </w:r>
          </w:p>
        </w:tc>
      </w:tr>
      <w:tr w:rsidR="00FB1AE6" w:rsidRPr="00FB1AE6" w14:paraId="2C2FF356" w14:textId="77777777" w:rsidTr="00305A73">
        <w:tblPrEx>
          <w:tblCellMar>
            <w:top w:w="0" w:type="dxa"/>
            <w:bottom w:w="0" w:type="dxa"/>
          </w:tblCellMar>
        </w:tblPrEx>
        <w:tc>
          <w:tcPr>
            <w:tcW w:w="1965" w:type="dxa"/>
          </w:tcPr>
          <w:p w14:paraId="00B764D5" w14:textId="77777777" w:rsidR="00FB1AE6" w:rsidRPr="00FB1AE6" w:rsidRDefault="00FB1AE6" w:rsidP="00FB1AE6">
            <w:pPr>
              <w:rPr>
                <w:rFonts w:ascii="Arial" w:hAnsi="Arial" w:cs="Arial"/>
                <w:sz w:val="20"/>
                <w:szCs w:val="20"/>
              </w:rPr>
            </w:pPr>
            <w:r w:rsidRPr="00FB1AE6">
              <w:rPr>
                <w:rFonts w:ascii="Arial" w:hAnsi="Arial" w:cs="Arial"/>
                <w:sz w:val="20"/>
                <w:szCs w:val="20"/>
              </w:rPr>
              <w:t>£1 - £12,000</w:t>
            </w:r>
          </w:p>
        </w:tc>
        <w:tc>
          <w:tcPr>
            <w:tcW w:w="9015" w:type="dxa"/>
          </w:tcPr>
          <w:p w14:paraId="61DB1134" w14:textId="0A31CA58" w:rsidR="00FB1AE6" w:rsidRPr="00FB1AE6" w:rsidRDefault="00FB1AE6" w:rsidP="00FB1AE6">
            <w:pPr>
              <w:rPr>
                <w:rFonts w:ascii="Arial" w:hAnsi="Arial" w:cs="Arial"/>
                <w:sz w:val="20"/>
                <w:szCs w:val="20"/>
              </w:rPr>
            </w:pPr>
            <w:r w:rsidRPr="00FB1AE6">
              <w:rPr>
                <w:rFonts w:ascii="Arial" w:hAnsi="Arial" w:cs="Arial"/>
                <w:sz w:val="20"/>
                <w:szCs w:val="20"/>
              </w:rPr>
              <w:t>100% relief and bills calculated using the small business non- domestic rating multiplier</w:t>
            </w:r>
          </w:p>
        </w:tc>
      </w:tr>
      <w:tr w:rsidR="00FB1AE6" w:rsidRPr="00FB1AE6" w14:paraId="4EB505B7" w14:textId="77777777" w:rsidTr="00305A73">
        <w:tblPrEx>
          <w:tblCellMar>
            <w:top w:w="0" w:type="dxa"/>
            <w:bottom w:w="0" w:type="dxa"/>
          </w:tblCellMar>
        </w:tblPrEx>
        <w:tc>
          <w:tcPr>
            <w:tcW w:w="1965" w:type="dxa"/>
          </w:tcPr>
          <w:p w14:paraId="29175BBA" w14:textId="77777777" w:rsidR="00FB1AE6" w:rsidRPr="00FB1AE6" w:rsidRDefault="00FB1AE6" w:rsidP="00FB1AE6">
            <w:pPr>
              <w:rPr>
                <w:rFonts w:ascii="Arial" w:hAnsi="Arial" w:cs="Arial"/>
                <w:sz w:val="20"/>
                <w:szCs w:val="20"/>
              </w:rPr>
            </w:pPr>
            <w:r w:rsidRPr="00FB1AE6">
              <w:rPr>
                <w:rFonts w:ascii="Arial" w:hAnsi="Arial" w:cs="Arial"/>
                <w:sz w:val="20"/>
                <w:szCs w:val="20"/>
              </w:rPr>
              <w:t>£12,001-£14,999</w:t>
            </w:r>
          </w:p>
        </w:tc>
        <w:tc>
          <w:tcPr>
            <w:tcW w:w="9015" w:type="dxa"/>
          </w:tcPr>
          <w:p w14:paraId="3F983EFB" w14:textId="332C4718" w:rsidR="00FB1AE6" w:rsidRPr="00FB1AE6" w:rsidRDefault="00FB1AE6" w:rsidP="00FB1AE6">
            <w:pPr>
              <w:rPr>
                <w:rFonts w:ascii="Arial" w:hAnsi="Arial" w:cs="Arial"/>
                <w:sz w:val="20"/>
                <w:szCs w:val="20"/>
              </w:rPr>
            </w:pPr>
            <w:r w:rsidRPr="00FB1AE6">
              <w:rPr>
                <w:rFonts w:ascii="Arial" w:hAnsi="Arial" w:cs="Arial"/>
                <w:sz w:val="20"/>
                <w:szCs w:val="20"/>
              </w:rPr>
              <w:t xml:space="preserve">Relief will be reduced from 100% on a sliding scale of 1% per £30 of rateable value. Bills will be calculated using the small business non-domestic rating multiplier. </w:t>
            </w:r>
          </w:p>
        </w:tc>
      </w:tr>
      <w:tr w:rsidR="00FB1AE6" w:rsidRPr="00FB1AE6" w14:paraId="6A99AFBF" w14:textId="77777777" w:rsidTr="00305A73">
        <w:tblPrEx>
          <w:tblCellMar>
            <w:top w:w="0" w:type="dxa"/>
            <w:bottom w:w="0" w:type="dxa"/>
          </w:tblCellMar>
        </w:tblPrEx>
        <w:tc>
          <w:tcPr>
            <w:tcW w:w="1965" w:type="dxa"/>
          </w:tcPr>
          <w:p w14:paraId="1E1E9FE7" w14:textId="77777777" w:rsidR="00FB1AE6" w:rsidRPr="00FB1AE6" w:rsidRDefault="00FB1AE6" w:rsidP="00FB1AE6">
            <w:pPr>
              <w:rPr>
                <w:rFonts w:ascii="Arial" w:hAnsi="Arial" w:cs="Arial"/>
                <w:sz w:val="20"/>
                <w:szCs w:val="20"/>
              </w:rPr>
            </w:pPr>
            <w:r w:rsidRPr="00FB1AE6">
              <w:rPr>
                <w:rFonts w:ascii="Arial" w:hAnsi="Arial" w:cs="Arial"/>
                <w:sz w:val="20"/>
                <w:szCs w:val="20"/>
              </w:rPr>
              <w:t>£15,000- £51,000</w:t>
            </w:r>
          </w:p>
        </w:tc>
        <w:tc>
          <w:tcPr>
            <w:tcW w:w="9015" w:type="dxa"/>
          </w:tcPr>
          <w:p w14:paraId="7324ECB4" w14:textId="44B0353E" w:rsidR="00FB1AE6" w:rsidRPr="00FB1AE6" w:rsidRDefault="00FB1AE6" w:rsidP="00FB1AE6">
            <w:pPr>
              <w:rPr>
                <w:rFonts w:ascii="Arial" w:hAnsi="Arial" w:cs="Arial"/>
                <w:sz w:val="20"/>
                <w:szCs w:val="20"/>
              </w:rPr>
            </w:pPr>
            <w:r w:rsidRPr="00FB1AE6">
              <w:rPr>
                <w:rFonts w:ascii="Arial" w:hAnsi="Arial" w:cs="Arial"/>
                <w:sz w:val="20"/>
                <w:szCs w:val="20"/>
              </w:rPr>
              <w:t>No relief but bills will be calculated using the small business non-domestic rating multiplier</w:t>
            </w:r>
          </w:p>
        </w:tc>
      </w:tr>
    </w:tbl>
    <w:p w14:paraId="24F8240E" w14:textId="77777777" w:rsidR="00FB1AE6" w:rsidRPr="00FB1AE6" w:rsidRDefault="00FB1AE6" w:rsidP="00FB1AE6">
      <w:pPr>
        <w:rPr>
          <w:rFonts w:ascii="Arial" w:hAnsi="Arial" w:cs="Arial"/>
          <w:sz w:val="20"/>
          <w:szCs w:val="20"/>
        </w:rPr>
      </w:pPr>
    </w:p>
    <w:p w14:paraId="5E8BF59D" w14:textId="77777777" w:rsidR="00FB1AE6" w:rsidRPr="00FB1AE6" w:rsidRDefault="00FB1AE6" w:rsidP="00FB1AE6">
      <w:pPr>
        <w:rPr>
          <w:rFonts w:ascii="Arial" w:hAnsi="Arial" w:cs="Arial"/>
          <w:b/>
          <w:bCs/>
          <w:sz w:val="20"/>
          <w:szCs w:val="20"/>
        </w:rPr>
      </w:pPr>
      <w:r w:rsidRPr="00FB1AE6">
        <w:rPr>
          <w:rFonts w:ascii="Arial" w:hAnsi="Arial" w:cs="Arial"/>
          <w:b/>
          <w:bCs/>
          <w:sz w:val="20"/>
          <w:szCs w:val="20"/>
        </w:rPr>
        <w:t>Small business relief will not apply in the following cases:</w:t>
      </w:r>
    </w:p>
    <w:p w14:paraId="3A5A81A5" w14:textId="77777777" w:rsidR="00FB1AE6" w:rsidRPr="00FB1AE6" w:rsidRDefault="00FB1AE6" w:rsidP="00FB1AE6">
      <w:pPr>
        <w:numPr>
          <w:ilvl w:val="0"/>
          <w:numId w:val="1"/>
        </w:numPr>
        <w:rPr>
          <w:rFonts w:ascii="Arial" w:hAnsi="Arial" w:cs="Arial"/>
          <w:sz w:val="20"/>
          <w:szCs w:val="20"/>
        </w:rPr>
      </w:pPr>
      <w:r w:rsidRPr="00FB1AE6">
        <w:rPr>
          <w:rFonts w:ascii="Arial" w:hAnsi="Arial" w:cs="Arial"/>
          <w:sz w:val="20"/>
          <w:szCs w:val="20"/>
        </w:rPr>
        <w:t>Ratepayers in occupation of properties with a rateable value of £15,000 or more</w:t>
      </w:r>
    </w:p>
    <w:p w14:paraId="3D2C6937" w14:textId="77777777" w:rsidR="00FB1AE6" w:rsidRPr="00FB1AE6" w:rsidRDefault="00FB1AE6" w:rsidP="00FB1AE6">
      <w:pPr>
        <w:numPr>
          <w:ilvl w:val="0"/>
          <w:numId w:val="1"/>
        </w:numPr>
        <w:rPr>
          <w:rFonts w:ascii="Arial" w:hAnsi="Arial" w:cs="Arial"/>
          <w:sz w:val="20"/>
          <w:szCs w:val="20"/>
        </w:rPr>
      </w:pPr>
      <w:r w:rsidRPr="00FB1AE6">
        <w:rPr>
          <w:rFonts w:ascii="Arial" w:hAnsi="Arial" w:cs="Arial"/>
          <w:sz w:val="20"/>
          <w:szCs w:val="20"/>
        </w:rPr>
        <w:t>Ratepayers in occupation of more than one property and the criteria in respect of one main property and additional properties is not met</w:t>
      </w:r>
    </w:p>
    <w:p w14:paraId="6BCD2763" w14:textId="77777777" w:rsidR="00FB1AE6" w:rsidRPr="00FB1AE6" w:rsidRDefault="00FB1AE6" w:rsidP="00FB1AE6">
      <w:pPr>
        <w:numPr>
          <w:ilvl w:val="0"/>
          <w:numId w:val="1"/>
        </w:numPr>
        <w:rPr>
          <w:rFonts w:ascii="Arial" w:hAnsi="Arial" w:cs="Arial"/>
          <w:sz w:val="20"/>
          <w:szCs w:val="20"/>
        </w:rPr>
      </w:pPr>
      <w:r w:rsidRPr="00FB1AE6">
        <w:rPr>
          <w:rFonts w:ascii="Arial" w:hAnsi="Arial" w:cs="Arial"/>
          <w:sz w:val="20"/>
          <w:szCs w:val="20"/>
        </w:rPr>
        <w:t xml:space="preserve">Empty properties </w:t>
      </w:r>
    </w:p>
    <w:p w14:paraId="386CFAF3" w14:textId="77777777" w:rsidR="00FB1AE6" w:rsidRPr="00FB1AE6" w:rsidRDefault="00FB1AE6" w:rsidP="00FB1AE6">
      <w:pPr>
        <w:numPr>
          <w:ilvl w:val="0"/>
          <w:numId w:val="1"/>
        </w:numPr>
        <w:rPr>
          <w:rFonts w:ascii="Arial" w:hAnsi="Arial" w:cs="Arial"/>
          <w:sz w:val="20"/>
          <w:szCs w:val="20"/>
        </w:rPr>
      </w:pPr>
      <w:r w:rsidRPr="00FB1AE6">
        <w:rPr>
          <w:rFonts w:ascii="Arial" w:hAnsi="Arial" w:cs="Arial"/>
          <w:sz w:val="20"/>
          <w:szCs w:val="20"/>
        </w:rPr>
        <w:t>Properties in receipt of mandatory relief – small business relief cannot be awarded in addition to other mandatory relief</w:t>
      </w:r>
    </w:p>
    <w:p w14:paraId="47E40B07" w14:textId="77777777" w:rsidR="00FB1AE6" w:rsidRPr="00FB1AE6" w:rsidRDefault="00FB1AE6" w:rsidP="00FB1AE6">
      <w:pPr>
        <w:rPr>
          <w:rFonts w:ascii="Arial" w:hAnsi="Arial" w:cs="Arial"/>
          <w:sz w:val="20"/>
          <w:szCs w:val="20"/>
        </w:rPr>
      </w:pPr>
      <w:r w:rsidRPr="00FB1AE6">
        <w:rPr>
          <w:rFonts w:ascii="Arial" w:hAnsi="Arial" w:cs="Arial"/>
          <w:sz w:val="20"/>
          <w:szCs w:val="20"/>
        </w:rPr>
        <w:t>In these cases the standard non-domestic rating multiplier will be used to calculate rate bills.</w:t>
      </w:r>
    </w:p>
    <w:p w14:paraId="1287E1B7" w14:textId="77777777" w:rsidR="00FB1AE6" w:rsidRPr="00FB1AE6" w:rsidRDefault="00FB1AE6" w:rsidP="00FB1AE6">
      <w:pPr>
        <w:rPr>
          <w:rFonts w:ascii="Arial" w:hAnsi="Arial" w:cs="Arial"/>
          <w:b/>
          <w:bCs/>
          <w:sz w:val="20"/>
          <w:szCs w:val="20"/>
        </w:rPr>
        <w:sectPr w:rsidR="00FB1AE6" w:rsidRPr="00FB1AE6" w:rsidSect="00FB1AE6">
          <w:footerReference w:type="default" r:id="rId7"/>
          <w:headerReference w:type="first" r:id="rId8"/>
          <w:type w:val="continuous"/>
          <w:pgSz w:w="11906" w:h="16838" w:code="9"/>
          <w:pgMar w:top="851" w:right="851" w:bottom="851" w:left="851" w:header="709" w:footer="709" w:gutter="0"/>
          <w:pgNumType w:start="1"/>
          <w:cols w:space="708"/>
          <w:titlePg/>
          <w:docGrid w:linePitch="360"/>
        </w:sectPr>
      </w:pPr>
    </w:p>
    <w:p w14:paraId="01EAD89D" w14:textId="77777777" w:rsidR="00FB1AE6" w:rsidRPr="00FB1AE6" w:rsidRDefault="00FB1AE6" w:rsidP="00FB1AE6">
      <w:pPr>
        <w:rPr>
          <w:rFonts w:ascii="Arial" w:hAnsi="Arial" w:cs="Arial"/>
          <w:b/>
          <w:bCs/>
          <w:sz w:val="20"/>
          <w:szCs w:val="20"/>
        </w:rPr>
      </w:pPr>
    </w:p>
    <w:p w14:paraId="7AE1C5AA" w14:textId="77777777" w:rsidR="007B2C9B" w:rsidRPr="00FB1AE6" w:rsidRDefault="007B2C9B">
      <w:pPr>
        <w:rPr>
          <w:rFonts w:ascii="Arial" w:hAnsi="Arial" w:cs="Arial"/>
          <w:sz w:val="20"/>
          <w:szCs w:val="20"/>
        </w:rPr>
      </w:pPr>
    </w:p>
    <w:sectPr w:rsidR="007B2C9B" w:rsidRPr="00FB1AE6" w:rsidSect="00FB1AE6">
      <w:footerReference w:type="default" r:id="rId9"/>
      <w:headerReference w:type="first" r:id="rId10"/>
      <w:footerReference w:type="first" r:id="rId11"/>
      <w:type w:val="continuous"/>
      <w:pgSz w:w="11906" w:h="16838" w:code="9"/>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FB58" w14:textId="77777777" w:rsidR="00FB1AE6" w:rsidRDefault="00FB1AE6" w:rsidP="00FB1AE6">
      <w:pPr>
        <w:spacing w:after="0" w:line="240" w:lineRule="auto"/>
      </w:pPr>
      <w:r>
        <w:separator/>
      </w:r>
    </w:p>
  </w:endnote>
  <w:endnote w:type="continuationSeparator" w:id="0">
    <w:p w14:paraId="552F78E5" w14:textId="77777777" w:rsidR="00FB1AE6" w:rsidRDefault="00FB1AE6" w:rsidP="00FB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992A" w14:textId="77777777" w:rsidR="00FB1AE6" w:rsidRDefault="00FB1AE6">
    <w:pPr>
      <w:pStyle w:val="Footer"/>
      <w:ind w:left="-900"/>
      <w:jc w:val="center"/>
    </w:pPr>
  </w:p>
  <w:p w14:paraId="038AAEB6" w14:textId="77777777" w:rsidR="00FB1AE6" w:rsidRDefault="00FB1AE6">
    <w:pPr>
      <w:pStyle w:val="Footer"/>
      <w:ind w:left="-900"/>
      <w:jc w:val="center"/>
    </w:pPr>
  </w:p>
  <w:p w14:paraId="7A5D3668" w14:textId="77777777" w:rsidR="00FB1AE6" w:rsidRDefault="00FB1AE6">
    <w:pPr>
      <w:pStyle w:val="Footer"/>
      <w:ind w:left="-9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A189" w14:textId="77777777" w:rsidR="00FB1AE6" w:rsidRDefault="00FB1AE6">
    <w:pPr>
      <w:pStyle w:val="Footer"/>
      <w:ind w:left="-900"/>
      <w:jc w:val="center"/>
    </w:pPr>
  </w:p>
  <w:p w14:paraId="14CFF0AB" w14:textId="77777777" w:rsidR="00FB1AE6" w:rsidRDefault="00FB1AE6">
    <w:pPr>
      <w:pStyle w:val="Footer"/>
      <w:ind w:left="-900"/>
      <w:jc w:val="center"/>
    </w:pPr>
  </w:p>
  <w:p w14:paraId="0850992E" w14:textId="77777777" w:rsidR="00FB1AE6" w:rsidRDefault="00FB1AE6">
    <w:pPr>
      <w:pStyle w:val="Footer"/>
      <w:ind w:left="-9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6AB4" w14:textId="6FE7F02A" w:rsidR="00FB1AE6" w:rsidRDefault="00FB1AE6">
    <w:pPr>
      <w:pStyle w:val="Footer"/>
    </w:pPr>
    <w:r>
      <w:rPr>
        <w:noProof/>
      </w:rPr>
      <w:drawing>
        <wp:anchor distT="0" distB="0" distL="114300" distR="114300" simplePos="0" relativeHeight="251659264" behindDoc="0" locked="0" layoutInCell="1" allowOverlap="1" wp14:anchorId="403DB7C9" wp14:editId="7A60D568">
          <wp:simplePos x="0" y="0"/>
          <wp:positionH relativeFrom="column">
            <wp:posOffset>332740</wp:posOffset>
          </wp:positionH>
          <wp:positionV relativeFrom="paragraph">
            <wp:posOffset>-84455</wp:posOffset>
          </wp:positionV>
          <wp:extent cx="5759450" cy="527685"/>
          <wp:effectExtent l="0" t="0" r="12700" b="5715"/>
          <wp:wrapNone/>
          <wp:docPr id="9835286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8DF6" w14:textId="77777777" w:rsidR="00FB1AE6" w:rsidRDefault="00FB1AE6" w:rsidP="00FB1AE6">
      <w:pPr>
        <w:spacing w:after="0" w:line="240" w:lineRule="auto"/>
      </w:pPr>
      <w:r>
        <w:separator/>
      </w:r>
    </w:p>
  </w:footnote>
  <w:footnote w:type="continuationSeparator" w:id="0">
    <w:p w14:paraId="5E5D339A" w14:textId="77777777" w:rsidR="00FB1AE6" w:rsidRDefault="00FB1AE6" w:rsidP="00FB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C757" w14:textId="3DDCA4FD" w:rsidR="00FB1AE6" w:rsidRDefault="00FB1AE6">
    <w:pPr>
      <w:pStyle w:val="Header"/>
      <w:jc w:val="center"/>
      <w:rPr>
        <w:lang w:val="en-US"/>
      </w:rPr>
    </w:pPr>
    <w:r>
      <w:t xml:space="preserve"> </w:t>
    </w:r>
  </w:p>
  <w:p w14:paraId="0D994BE5" w14:textId="77777777" w:rsidR="00FB1AE6" w:rsidRDefault="00FB1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F584" w14:textId="5668D9DB" w:rsidR="00FB1AE6" w:rsidRDefault="00FB1AE6">
    <w:pPr>
      <w:pStyle w:val="Header"/>
      <w:jc w:val="center"/>
      <w:rPr>
        <w:lang w:val="en-US"/>
      </w:rPr>
    </w:pPr>
    <w:r>
      <w:rPr>
        <w:noProof/>
      </w:rPr>
      <w:drawing>
        <wp:inline distT="0" distB="0" distL="0" distR="0" wp14:anchorId="1AC062C7" wp14:editId="6F8B848C">
          <wp:extent cx="1038225" cy="1123950"/>
          <wp:effectExtent l="0" t="0" r="9525" b="0"/>
          <wp:docPr id="74405936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123950"/>
                  </a:xfrm>
                  <a:prstGeom prst="rect">
                    <a:avLst/>
                  </a:prstGeom>
                  <a:noFill/>
                  <a:ln>
                    <a:noFill/>
                  </a:ln>
                </pic:spPr>
              </pic:pic>
            </a:graphicData>
          </a:graphic>
        </wp:inline>
      </w:drawing>
    </w:r>
    <w:r>
      <w:t xml:space="preserve">  </w:t>
    </w:r>
    <w:r>
      <w:rPr>
        <w:noProof/>
      </w:rPr>
      <w:drawing>
        <wp:inline distT="0" distB="0" distL="0" distR="0" wp14:anchorId="619A2E14" wp14:editId="3A8ED113">
          <wp:extent cx="4086225" cy="1066800"/>
          <wp:effectExtent l="0" t="0" r="9525" b="0"/>
          <wp:docPr id="2319176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86225" cy="1066800"/>
                  </a:xfrm>
                  <a:prstGeom prst="rect">
                    <a:avLst/>
                  </a:prstGeom>
                  <a:noFill/>
                  <a:ln>
                    <a:noFill/>
                  </a:ln>
                </pic:spPr>
              </pic:pic>
            </a:graphicData>
          </a:graphic>
        </wp:inline>
      </w:drawing>
    </w:r>
  </w:p>
  <w:p w14:paraId="3F848FFC" w14:textId="77777777" w:rsidR="00FB1AE6" w:rsidRDefault="00FB1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4DC43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0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E6"/>
    <w:rsid w:val="007B2C9B"/>
    <w:rsid w:val="00BD2588"/>
    <w:rsid w:val="00EE1D84"/>
    <w:rsid w:val="00FB1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DDC3"/>
  <w15:chartTrackingRefBased/>
  <w15:docId w15:val="{5DE4A141-9962-4A08-B76B-8C8657B6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AE6"/>
    <w:rPr>
      <w:rFonts w:eastAsiaTheme="majorEastAsia" w:cstheme="majorBidi"/>
      <w:color w:val="272727" w:themeColor="text1" w:themeTint="D8"/>
    </w:rPr>
  </w:style>
  <w:style w:type="paragraph" w:styleId="Title">
    <w:name w:val="Title"/>
    <w:basedOn w:val="Normal"/>
    <w:next w:val="Normal"/>
    <w:link w:val="TitleChar"/>
    <w:uiPriority w:val="10"/>
    <w:qFormat/>
    <w:rsid w:val="00FB1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AE6"/>
    <w:pPr>
      <w:spacing w:before="160"/>
      <w:jc w:val="center"/>
    </w:pPr>
    <w:rPr>
      <w:i/>
      <w:iCs/>
      <w:color w:val="404040" w:themeColor="text1" w:themeTint="BF"/>
    </w:rPr>
  </w:style>
  <w:style w:type="character" w:customStyle="1" w:styleId="QuoteChar">
    <w:name w:val="Quote Char"/>
    <w:basedOn w:val="DefaultParagraphFont"/>
    <w:link w:val="Quote"/>
    <w:uiPriority w:val="29"/>
    <w:rsid w:val="00FB1AE6"/>
    <w:rPr>
      <w:i/>
      <w:iCs/>
      <w:color w:val="404040" w:themeColor="text1" w:themeTint="BF"/>
    </w:rPr>
  </w:style>
  <w:style w:type="paragraph" w:styleId="ListParagraph">
    <w:name w:val="List Paragraph"/>
    <w:basedOn w:val="Normal"/>
    <w:uiPriority w:val="34"/>
    <w:qFormat/>
    <w:rsid w:val="00FB1AE6"/>
    <w:pPr>
      <w:ind w:left="720"/>
      <w:contextualSpacing/>
    </w:pPr>
  </w:style>
  <w:style w:type="character" w:styleId="IntenseEmphasis">
    <w:name w:val="Intense Emphasis"/>
    <w:basedOn w:val="DefaultParagraphFont"/>
    <w:uiPriority w:val="21"/>
    <w:qFormat/>
    <w:rsid w:val="00FB1AE6"/>
    <w:rPr>
      <w:i/>
      <w:iCs/>
      <w:color w:val="0F4761" w:themeColor="accent1" w:themeShade="BF"/>
    </w:rPr>
  </w:style>
  <w:style w:type="paragraph" w:styleId="IntenseQuote">
    <w:name w:val="Intense Quote"/>
    <w:basedOn w:val="Normal"/>
    <w:next w:val="Normal"/>
    <w:link w:val="IntenseQuoteChar"/>
    <w:uiPriority w:val="30"/>
    <w:qFormat/>
    <w:rsid w:val="00FB1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AE6"/>
    <w:rPr>
      <w:i/>
      <w:iCs/>
      <w:color w:val="0F4761" w:themeColor="accent1" w:themeShade="BF"/>
    </w:rPr>
  </w:style>
  <w:style w:type="character" w:styleId="IntenseReference">
    <w:name w:val="Intense Reference"/>
    <w:basedOn w:val="DefaultParagraphFont"/>
    <w:uiPriority w:val="32"/>
    <w:qFormat/>
    <w:rsid w:val="00FB1AE6"/>
    <w:rPr>
      <w:b/>
      <w:bCs/>
      <w:smallCaps/>
      <w:color w:val="0F4761" w:themeColor="accent1" w:themeShade="BF"/>
      <w:spacing w:val="5"/>
    </w:rPr>
  </w:style>
  <w:style w:type="paragraph" w:styleId="Header">
    <w:name w:val="header"/>
    <w:basedOn w:val="Normal"/>
    <w:link w:val="HeaderChar"/>
    <w:uiPriority w:val="99"/>
    <w:unhideWhenUsed/>
    <w:rsid w:val="00FB1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AE6"/>
  </w:style>
  <w:style w:type="paragraph" w:styleId="Footer">
    <w:name w:val="footer"/>
    <w:basedOn w:val="Normal"/>
    <w:link w:val="FooterChar"/>
    <w:uiPriority w:val="99"/>
    <w:unhideWhenUsed/>
    <w:rsid w:val="00FB1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AE6"/>
  </w:style>
  <w:style w:type="character" w:styleId="Hyperlink">
    <w:name w:val="Hyperlink"/>
    <w:basedOn w:val="DefaultParagraphFont"/>
    <w:uiPriority w:val="99"/>
    <w:unhideWhenUsed/>
    <w:rsid w:val="00FB1AE6"/>
    <w:rPr>
      <w:color w:val="467886" w:themeColor="hyperlink"/>
      <w:u w:val="single"/>
    </w:rPr>
  </w:style>
  <w:style w:type="character" w:styleId="UnresolvedMention">
    <w:name w:val="Unresolved Mention"/>
    <w:basedOn w:val="DefaultParagraphFont"/>
    <w:uiPriority w:val="99"/>
    <w:semiHidden/>
    <w:unhideWhenUsed/>
    <w:rsid w:val="00FB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http://intranet.stroud.gov.uk/keydocuments/Documentation/Corporate_Identity_Design_Guide/Corporate%20Identity%20Images/letterhead.jpg"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Drackett, Collette</dc:creator>
  <cp:keywords/>
  <dc:description/>
  <cp:lastModifiedBy>Drackett, Collette</cp:lastModifiedBy>
  <cp:revision>1</cp:revision>
  <dcterms:created xsi:type="dcterms:W3CDTF">2025-07-31T14:04:00Z</dcterms:created>
  <dcterms:modified xsi:type="dcterms:W3CDTF">2025-07-31T14:11:00Z</dcterms:modified>
</cp:coreProperties>
</file>