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68E" w:rsidRDefault="0059268E" w:rsidP="0059268E">
      <w:pPr>
        <w:jc w:val="center"/>
        <w:rPr>
          <w:rFonts w:ascii="Arial" w:hAnsi="Arial" w:cs="Arial"/>
          <w:b/>
          <w:sz w:val="40"/>
          <w:szCs w:val="40"/>
        </w:rPr>
      </w:pPr>
    </w:p>
    <w:p w:rsidR="00ED1DAD" w:rsidRDefault="00ED1DAD" w:rsidP="0059268E">
      <w:pPr>
        <w:jc w:val="center"/>
        <w:rPr>
          <w:rFonts w:ascii="Arial" w:hAnsi="Arial" w:cs="Arial"/>
          <w:b/>
          <w:sz w:val="40"/>
          <w:szCs w:val="40"/>
        </w:rPr>
      </w:pPr>
    </w:p>
    <w:p w:rsidR="00ED1DAD" w:rsidRDefault="00ED1DAD" w:rsidP="0059268E">
      <w:pPr>
        <w:jc w:val="center"/>
        <w:rPr>
          <w:rFonts w:ascii="Arial" w:hAnsi="Arial" w:cs="Arial"/>
          <w:b/>
          <w:sz w:val="40"/>
          <w:szCs w:val="40"/>
        </w:rPr>
      </w:pPr>
    </w:p>
    <w:p w:rsidR="00ED1DAD" w:rsidRDefault="00ED1DAD" w:rsidP="0059268E">
      <w:pPr>
        <w:jc w:val="center"/>
        <w:rPr>
          <w:rFonts w:ascii="Arial" w:hAnsi="Arial" w:cs="Arial"/>
          <w:b/>
          <w:sz w:val="40"/>
          <w:szCs w:val="40"/>
        </w:rPr>
      </w:pPr>
    </w:p>
    <w:p w:rsidR="0059268E" w:rsidRDefault="003A700A" w:rsidP="0059268E">
      <w:pPr>
        <w:jc w:val="center"/>
        <w:rPr>
          <w:rFonts w:ascii="Arial" w:hAnsi="Arial" w:cs="Arial"/>
          <w:b/>
          <w:sz w:val="40"/>
          <w:szCs w:val="40"/>
        </w:rPr>
      </w:pPr>
      <w:r>
        <w:rPr>
          <w:rFonts w:ascii="Arial" w:hAnsi="Arial" w:cs="Arial"/>
          <w:b/>
          <w:sz w:val="40"/>
          <w:szCs w:val="40"/>
        </w:rPr>
        <w:t>Stroud District Council</w:t>
      </w:r>
    </w:p>
    <w:p w:rsidR="0059268E" w:rsidRDefault="0059268E" w:rsidP="0059268E">
      <w:pPr>
        <w:jc w:val="center"/>
        <w:rPr>
          <w:rFonts w:ascii="Arial" w:hAnsi="Arial" w:cs="Arial"/>
          <w:b/>
          <w:sz w:val="40"/>
          <w:szCs w:val="40"/>
        </w:rPr>
      </w:pPr>
    </w:p>
    <w:p w:rsidR="0059268E" w:rsidRDefault="0059268E" w:rsidP="0059268E">
      <w:pPr>
        <w:jc w:val="center"/>
        <w:rPr>
          <w:rFonts w:ascii="Arial" w:hAnsi="Arial" w:cs="Arial"/>
          <w:b/>
          <w:sz w:val="40"/>
          <w:szCs w:val="40"/>
        </w:rPr>
      </w:pPr>
      <w:proofErr w:type="gramStart"/>
      <w:r w:rsidRPr="0059268E">
        <w:rPr>
          <w:rFonts w:ascii="Arial" w:hAnsi="Arial" w:cs="Arial"/>
          <w:b/>
          <w:sz w:val="40"/>
          <w:szCs w:val="40"/>
        </w:rPr>
        <w:t>Homelessness Prevention Strategy</w:t>
      </w:r>
      <w:r w:rsidR="00ED71D2">
        <w:rPr>
          <w:rFonts w:ascii="Arial" w:hAnsi="Arial" w:cs="Arial"/>
          <w:b/>
          <w:sz w:val="40"/>
          <w:szCs w:val="40"/>
        </w:rPr>
        <w:t xml:space="preserve"> (Including Rough Sleeping).</w:t>
      </w:r>
      <w:proofErr w:type="gramEnd"/>
      <w:r w:rsidR="004E04B0">
        <w:rPr>
          <w:rFonts w:ascii="Arial" w:hAnsi="Arial" w:cs="Arial"/>
          <w:b/>
          <w:sz w:val="40"/>
          <w:szCs w:val="40"/>
        </w:rPr>
        <w:t xml:space="preserve"> </w:t>
      </w:r>
    </w:p>
    <w:p w:rsidR="00CD4B92" w:rsidRDefault="00575B27" w:rsidP="0059268E">
      <w:pPr>
        <w:jc w:val="center"/>
        <w:rPr>
          <w:rFonts w:ascii="Arial" w:hAnsi="Arial" w:cs="Arial"/>
          <w:b/>
          <w:sz w:val="40"/>
          <w:szCs w:val="40"/>
        </w:rPr>
      </w:pPr>
      <w:r>
        <w:rPr>
          <w:rFonts w:ascii="Arial" w:hAnsi="Arial" w:cs="Arial"/>
          <w:b/>
          <w:sz w:val="40"/>
          <w:szCs w:val="40"/>
        </w:rPr>
        <w:t xml:space="preserve">2019 </w:t>
      </w:r>
      <w:r w:rsidR="004F41AF">
        <w:rPr>
          <w:rFonts w:ascii="Arial" w:hAnsi="Arial" w:cs="Arial"/>
          <w:b/>
          <w:sz w:val="40"/>
          <w:szCs w:val="40"/>
        </w:rPr>
        <w:t>–</w:t>
      </w:r>
      <w:r>
        <w:rPr>
          <w:rFonts w:ascii="Arial" w:hAnsi="Arial" w:cs="Arial"/>
          <w:b/>
          <w:sz w:val="40"/>
          <w:szCs w:val="40"/>
        </w:rPr>
        <w:t xml:space="preserve"> 2024</w:t>
      </w:r>
    </w:p>
    <w:p w:rsidR="004F41AF" w:rsidRDefault="004F41AF" w:rsidP="0059268E">
      <w:pPr>
        <w:jc w:val="center"/>
        <w:rPr>
          <w:rFonts w:ascii="Arial" w:hAnsi="Arial" w:cs="Arial"/>
          <w:b/>
          <w:sz w:val="40"/>
          <w:szCs w:val="40"/>
        </w:rPr>
      </w:pPr>
    </w:p>
    <w:p w:rsidR="004F41AF" w:rsidRDefault="004F41AF" w:rsidP="0059268E">
      <w:pPr>
        <w:jc w:val="center"/>
        <w:rPr>
          <w:rFonts w:ascii="Arial" w:hAnsi="Arial" w:cs="Arial"/>
          <w:b/>
          <w:sz w:val="40"/>
          <w:szCs w:val="40"/>
        </w:rPr>
      </w:pPr>
    </w:p>
    <w:p w:rsidR="004F41AF" w:rsidRDefault="004F41AF" w:rsidP="0059268E">
      <w:pPr>
        <w:jc w:val="center"/>
        <w:rPr>
          <w:rFonts w:ascii="Arial" w:hAnsi="Arial" w:cs="Arial"/>
          <w:b/>
          <w:sz w:val="40"/>
          <w:szCs w:val="40"/>
        </w:rPr>
      </w:pPr>
    </w:p>
    <w:p w:rsidR="004F41AF" w:rsidRPr="0059268E" w:rsidRDefault="004F41AF" w:rsidP="0059268E">
      <w:pPr>
        <w:jc w:val="center"/>
        <w:rPr>
          <w:rFonts w:ascii="Arial" w:hAnsi="Arial" w:cs="Arial"/>
          <w:b/>
          <w:sz w:val="40"/>
          <w:szCs w:val="40"/>
        </w:rPr>
      </w:pPr>
    </w:p>
    <w:p w:rsidR="0059268E" w:rsidRPr="0059268E" w:rsidRDefault="0059268E" w:rsidP="0059268E">
      <w:pPr>
        <w:jc w:val="center"/>
        <w:rPr>
          <w:rFonts w:ascii="Arial" w:hAnsi="Arial" w:cs="Arial"/>
          <w:b/>
          <w:sz w:val="40"/>
          <w:szCs w:val="40"/>
        </w:rPr>
      </w:pPr>
    </w:p>
    <w:p w:rsidR="0059268E" w:rsidRDefault="0059268E" w:rsidP="0059268E">
      <w:pPr>
        <w:jc w:val="center"/>
        <w:rPr>
          <w:rFonts w:ascii="Arial" w:hAnsi="Arial" w:cs="Arial"/>
          <w:b/>
          <w:sz w:val="40"/>
          <w:szCs w:val="40"/>
        </w:rPr>
      </w:pPr>
    </w:p>
    <w:p w:rsidR="003C6C78" w:rsidRPr="004B2850" w:rsidRDefault="003C6C78">
      <w:pPr>
        <w:rPr>
          <w:rFonts w:ascii="Arial" w:hAnsi="Arial" w:cs="Arial"/>
          <w:sz w:val="24"/>
          <w:szCs w:val="24"/>
          <w:u w:val="single"/>
        </w:rPr>
      </w:pPr>
      <w:r w:rsidRPr="004B2850">
        <w:rPr>
          <w:rFonts w:ascii="Arial" w:hAnsi="Arial" w:cs="Arial"/>
          <w:sz w:val="24"/>
          <w:szCs w:val="24"/>
          <w:u w:val="single"/>
        </w:rPr>
        <w:t>Introduction</w:t>
      </w:r>
    </w:p>
    <w:p w:rsidR="00327651" w:rsidRPr="004B2850" w:rsidRDefault="00C90437" w:rsidP="0059268E">
      <w:pPr>
        <w:jc w:val="both"/>
        <w:rPr>
          <w:rFonts w:ascii="Arial" w:hAnsi="Arial" w:cs="Arial"/>
          <w:sz w:val="24"/>
          <w:szCs w:val="24"/>
        </w:rPr>
      </w:pPr>
      <w:r w:rsidRPr="004B2850">
        <w:rPr>
          <w:rFonts w:ascii="Arial" w:hAnsi="Arial" w:cs="Arial"/>
          <w:sz w:val="24"/>
          <w:szCs w:val="24"/>
        </w:rPr>
        <w:t>Section 1 of the Homelessness Act 2002 placed a duty on housing authorities to formulate a homelessness strategy. Every five years housing authorit</w:t>
      </w:r>
      <w:r w:rsidR="00574985" w:rsidRPr="004B2850">
        <w:rPr>
          <w:rFonts w:ascii="Arial" w:hAnsi="Arial" w:cs="Arial"/>
          <w:sz w:val="24"/>
          <w:szCs w:val="24"/>
        </w:rPr>
        <w:t>i</w:t>
      </w:r>
      <w:r w:rsidRPr="004B2850">
        <w:rPr>
          <w:rFonts w:ascii="Arial" w:hAnsi="Arial" w:cs="Arial"/>
          <w:sz w:val="24"/>
          <w:szCs w:val="24"/>
        </w:rPr>
        <w:t>es have to carry out a further homelessness review and publish a new strategy</w:t>
      </w:r>
      <w:r w:rsidR="00ED71D2">
        <w:rPr>
          <w:rFonts w:ascii="Arial" w:hAnsi="Arial" w:cs="Arial"/>
          <w:sz w:val="24"/>
          <w:szCs w:val="24"/>
        </w:rPr>
        <w:t xml:space="preserve"> (See Appendix 1)</w:t>
      </w:r>
      <w:r w:rsidRPr="004B2850">
        <w:rPr>
          <w:rFonts w:ascii="Arial" w:hAnsi="Arial" w:cs="Arial"/>
          <w:sz w:val="24"/>
          <w:szCs w:val="24"/>
        </w:rPr>
        <w:t>.</w:t>
      </w:r>
      <w:r w:rsidR="00A044F4" w:rsidRPr="004B2850">
        <w:rPr>
          <w:rFonts w:ascii="Arial" w:hAnsi="Arial" w:cs="Arial"/>
          <w:sz w:val="24"/>
          <w:szCs w:val="24"/>
        </w:rPr>
        <w:t xml:space="preserve"> </w:t>
      </w:r>
      <w:r w:rsidR="00BD04C1" w:rsidRPr="004B2850">
        <w:rPr>
          <w:rFonts w:ascii="Arial" w:hAnsi="Arial" w:cs="Arial"/>
          <w:sz w:val="24"/>
          <w:szCs w:val="24"/>
        </w:rPr>
        <w:t xml:space="preserve"> </w:t>
      </w:r>
    </w:p>
    <w:p w:rsidR="004C7D58" w:rsidRDefault="00CD4B92" w:rsidP="009B2F9F">
      <w:pPr>
        <w:jc w:val="both"/>
        <w:rPr>
          <w:rFonts w:ascii="Arial" w:hAnsi="Arial" w:cs="Arial"/>
          <w:sz w:val="24"/>
          <w:szCs w:val="24"/>
        </w:rPr>
      </w:pPr>
      <w:r w:rsidRPr="004B2850">
        <w:rPr>
          <w:rFonts w:ascii="Arial" w:hAnsi="Arial" w:cs="Arial"/>
          <w:sz w:val="24"/>
          <w:szCs w:val="24"/>
        </w:rPr>
        <w:t>T</w:t>
      </w:r>
      <w:r w:rsidR="005D6627" w:rsidRPr="004B2850">
        <w:rPr>
          <w:rFonts w:ascii="Arial" w:hAnsi="Arial" w:cs="Arial"/>
          <w:sz w:val="24"/>
          <w:szCs w:val="24"/>
        </w:rPr>
        <w:t xml:space="preserve">he </w:t>
      </w:r>
      <w:r w:rsidR="00EC1ABC" w:rsidRPr="004B2850">
        <w:rPr>
          <w:rFonts w:ascii="Arial" w:hAnsi="Arial" w:cs="Arial"/>
          <w:sz w:val="24"/>
          <w:szCs w:val="24"/>
        </w:rPr>
        <w:t xml:space="preserve">previous </w:t>
      </w:r>
      <w:r w:rsidR="005D6627" w:rsidRPr="004B2850">
        <w:rPr>
          <w:rFonts w:ascii="Arial" w:hAnsi="Arial" w:cs="Arial"/>
          <w:sz w:val="24"/>
          <w:szCs w:val="24"/>
        </w:rPr>
        <w:t>strategy was initially developed with members o</w:t>
      </w:r>
      <w:r w:rsidRPr="004B2850">
        <w:rPr>
          <w:rFonts w:ascii="Arial" w:hAnsi="Arial" w:cs="Arial"/>
          <w:sz w:val="24"/>
          <w:szCs w:val="24"/>
        </w:rPr>
        <w:t xml:space="preserve">f the Stroud Homelessness Forum. Since </w:t>
      </w:r>
      <w:r w:rsidR="00EC1ABC" w:rsidRPr="004B2850">
        <w:rPr>
          <w:rFonts w:ascii="Arial" w:hAnsi="Arial" w:cs="Arial"/>
          <w:sz w:val="24"/>
          <w:szCs w:val="24"/>
        </w:rPr>
        <w:t>then</w:t>
      </w:r>
      <w:r w:rsidRPr="004B2850">
        <w:rPr>
          <w:rFonts w:ascii="Arial" w:hAnsi="Arial" w:cs="Arial"/>
          <w:sz w:val="24"/>
          <w:szCs w:val="24"/>
        </w:rPr>
        <w:t xml:space="preserve"> the Forum has been </w:t>
      </w:r>
      <w:proofErr w:type="spellStart"/>
      <w:r w:rsidRPr="004B2850">
        <w:rPr>
          <w:rFonts w:ascii="Arial" w:hAnsi="Arial" w:cs="Arial"/>
          <w:sz w:val="24"/>
          <w:szCs w:val="24"/>
        </w:rPr>
        <w:t>relaunched</w:t>
      </w:r>
      <w:proofErr w:type="spellEnd"/>
      <w:r w:rsidRPr="004B2850">
        <w:rPr>
          <w:rFonts w:ascii="Arial" w:hAnsi="Arial" w:cs="Arial"/>
          <w:sz w:val="24"/>
          <w:szCs w:val="24"/>
        </w:rPr>
        <w:t xml:space="preserve"> as the Stroud Homelessness Working Group</w:t>
      </w:r>
      <w:r w:rsidR="005C1FB1">
        <w:rPr>
          <w:rFonts w:ascii="Arial" w:hAnsi="Arial" w:cs="Arial"/>
          <w:sz w:val="24"/>
          <w:szCs w:val="24"/>
        </w:rPr>
        <w:t xml:space="preserve"> </w:t>
      </w:r>
      <w:r w:rsidR="00D42856">
        <w:rPr>
          <w:rFonts w:ascii="Arial" w:hAnsi="Arial" w:cs="Arial"/>
          <w:sz w:val="24"/>
          <w:szCs w:val="24"/>
        </w:rPr>
        <w:t>and</w:t>
      </w:r>
      <w:r w:rsidR="005C1FB1">
        <w:rPr>
          <w:rFonts w:ascii="Arial" w:hAnsi="Arial" w:cs="Arial"/>
          <w:sz w:val="24"/>
          <w:szCs w:val="24"/>
        </w:rPr>
        <w:t xml:space="preserve"> includes external partners and organisations.</w:t>
      </w:r>
      <w:r w:rsidRPr="004B2850">
        <w:rPr>
          <w:rFonts w:ascii="Arial" w:hAnsi="Arial" w:cs="Arial"/>
          <w:sz w:val="24"/>
          <w:szCs w:val="24"/>
        </w:rPr>
        <w:t xml:space="preserve"> </w:t>
      </w:r>
      <w:r w:rsidR="0059248B" w:rsidRPr="004B2850">
        <w:rPr>
          <w:rFonts w:ascii="Arial" w:hAnsi="Arial" w:cs="Arial"/>
          <w:sz w:val="24"/>
          <w:szCs w:val="24"/>
        </w:rPr>
        <w:t>T</w:t>
      </w:r>
      <w:r w:rsidR="00D266BD" w:rsidRPr="004B2850">
        <w:rPr>
          <w:rFonts w:ascii="Arial" w:hAnsi="Arial" w:cs="Arial"/>
          <w:sz w:val="24"/>
          <w:szCs w:val="24"/>
        </w:rPr>
        <w:t>h</w:t>
      </w:r>
      <w:r w:rsidR="00EC1ABC" w:rsidRPr="004B2850">
        <w:rPr>
          <w:rFonts w:ascii="Arial" w:hAnsi="Arial" w:cs="Arial"/>
          <w:sz w:val="24"/>
          <w:szCs w:val="24"/>
        </w:rPr>
        <w:t>e previous strategy was reviewed</w:t>
      </w:r>
      <w:r w:rsidR="00CD73B5" w:rsidRPr="004B2850">
        <w:rPr>
          <w:rFonts w:ascii="Arial" w:hAnsi="Arial" w:cs="Arial"/>
          <w:sz w:val="24"/>
          <w:szCs w:val="24"/>
        </w:rPr>
        <w:t xml:space="preserve"> with consultation and feedback </w:t>
      </w:r>
      <w:r w:rsidR="00D266BD" w:rsidRPr="004B2850">
        <w:rPr>
          <w:rFonts w:ascii="Arial" w:hAnsi="Arial" w:cs="Arial"/>
          <w:sz w:val="24"/>
          <w:szCs w:val="24"/>
        </w:rPr>
        <w:t xml:space="preserve">from </w:t>
      </w:r>
      <w:r w:rsidR="004B2850" w:rsidRPr="004B2850">
        <w:rPr>
          <w:rFonts w:ascii="Arial" w:hAnsi="Arial" w:cs="Arial"/>
          <w:sz w:val="24"/>
          <w:szCs w:val="24"/>
        </w:rPr>
        <w:t>the Working</w:t>
      </w:r>
      <w:r w:rsidR="0059248B" w:rsidRPr="004B2850">
        <w:rPr>
          <w:rFonts w:ascii="Arial" w:hAnsi="Arial" w:cs="Arial"/>
          <w:sz w:val="24"/>
          <w:szCs w:val="24"/>
        </w:rPr>
        <w:t xml:space="preserve"> </w:t>
      </w:r>
      <w:r w:rsidR="00A53A9C" w:rsidRPr="004B2850">
        <w:rPr>
          <w:rFonts w:ascii="Arial" w:hAnsi="Arial" w:cs="Arial"/>
          <w:sz w:val="24"/>
          <w:szCs w:val="24"/>
        </w:rPr>
        <w:t xml:space="preserve">Group </w:t>
      </w:r>
      <w:r w:rsidR="00A53A9C">
        <w:rPr>
          <w:rFonts w:ascii="Arial" w:hAnsi="Arial" w:cs="Arial"/>
          <w:sz w:val="24"/>
          <w:szCs w:val="24"/>
        </w:rPr>
        <w:t>in</w:t>
      </w:r>
      <w:r w:rsidR="00A53A9C">
        <w:rPr>
          <w:rFonts w:ascii="Arial" w:hAnsi="Arial" w:cs="Arial"/>
          <w:sz w:val="24"/>
          <w:szCs w:val="24"/>
          <w:vertAlign w:val="superscript"/>
        </w:rPr>
        <w:t xml:space="preserve"> </w:t>
      </w:r>
      <w:r w:rsidR="00E85B54" w:rsidRPr="004B2850">
        <w:rPr>
          <w:rFonts w:ascii="Arial" w:hAnsi="Arial" w:cs="Arial"/>
          <w:sz w:val="24"/>
          <w:szCs w:val="24"/>
        </w:rPr>
        <w:t>November</w:t>
      </w:r>
      <w:r w:rsidR="007C076D" w:rsidRPr="004B2850">
        <w:rPr>
          <w:rFonts w:ascii="Arial" w:hAnsi="Arial" w:cs="Arial"/>
          <w:sz w:val="24"/>
          <w:szCs w:val="24"/>
        </w:rPr>
        <w:t xml:space="preserve"> 201</w:t>
      </w:r>
      <w:r w:rsidR="0059248B" w:rsidRPr="004B2850">
        <w:rPr>
          <w:rFonts w:ascii="Arial" w:hAnsi="Arial" w:cs="Arial"/>
          <w:sz w:val="24"/>
          <w:szCs w:val="24"/>
        </w:rPr>
        <w:t>7</w:t>
      </w:r>
      <w:r w:rsidR="00D266BD" w:rsidRPr="004B2850">
        <w:rPr>
          <w:rFonts w:ascii="Arial" w:hAnsi="Arial" w:cs="Arial"/>
          <w:sz w:val="24"/>
          <w:szCs w:val="24"/>
        </w:rPr>
        <w:t xml:space="preserve">. </w:t>
      </w:r>
      <w:r w:rsidR="00840C8B">
        <w:rPr>
          <w:rFonts w:ascii="Arial" w:hAnsi="Arial" w:cs="Arial"/>
          <w:sz w:val="24"/>
          <w:szCs w:val="24"/>
        </w:rPr>
        <w:t xml:space="preserve">This </w:t>
      </w:r>
      <w:r w:rsidR="00EC6377">
        <w:rPr>
          <w:rFonts w:ascii="Arial" w:hAnsi="Arial" w:cs="Arial"/>
          <w:sz w:val="24"/>
          <w:szCs w:val="24"/>
        </w:rPr>
        <w:t xml:space="preserve">new </w:t>
      </w:r>
      <w:r w:rsidR="00840C8B">
        <w:rPr>
          <w:rFonts w:ascii="Arial" w:hAnsi="Arial" w:cs="Arial"/>
          <w:sz w:val="24"/>
          <w:szCs w:val="24"/>
        </w:rPr>
        <w:t xml:space="preserve">strategy has </w:t>
      </w:r>
      <w:r w:rsidR="00EC6377">
        <w:rPr>
          <w:rFonts w:ascii="Arial" w:hAnsi="Arial" w:cs="Arial"/>
          <w:sz w:val="24"/>
          <w:szCs w:val="24"/>
        </w:rPr>
        <w:t>also had input from the Working Group which met on 5</w:t>
      </w:r>
      <w:r w:rsidR="00A3108A" w:rsidRPr="00A3108A">
        <w:rPr>
          <w:rFonts w:ascii="Arial" w:hAnsi="Arial" w:cs="Arial"/>
          <w:sz w:val="24"/>
          <w:szCs w:val="24"/>
          <w:vertAlign w:val="superscript"/>
        </w:rPr>
        <w:t>th</w:t>
      </w:r>
      <w:r w:rsidR="00EC6377">
        <w:rPr>
          <w:rFonts w:ascii="Arial" w:hAnsi="Arial" w:cs="Arial"/>
          <w:sz w:val="24"/>
          <w:szCs w:val="24"/>
        </w:rPr>
        <w:t xml:space="preserve"> September 201</w:t>
      </w:r>
      <w:r w:rsidR="00A5449D">
        <w:rPr>
          <w:rFonts w:ascii="Arial" w:hAnsi="Arial" w:cs="Arial"/>
          <w:sz w:val="24"/>
          <w:szCs w:val="24"/>
        </w:rPr>
        <w:t>8</w:t>
      </w:r>
      <w:r w:rsidR="00EC6377">
        <w:rPr>
          <w:rFonts w:ascii="Arial" w:hAnsi="Arial" w:cs="Arial"/>
          <w:sz w:val="24"/>
          <w:szCs w:val="24"/>
        </w:rPr>
        <w:t xml:space="preserve"> with the primary aim of identifying trends and particular problems relating to homelessness in the District</w:t>
      </w:r>
      <w:r w:rsidR="00D42856">
        <w:rPr>
          <w:rFonts w:ascii="Arial" w:hAnsi="Arial" w:cs="Arial"/>
          <w:sz w:val="24"/>
          <w:szCs w:val="24"/>
        </w:rPr>
        <w:t>. This</w:t>
      </w:r>
      <w:r w:rsidR="00945374">
        <w:rPr>
          <w:rFonts w:ascii="Arial" w:hAnsi="Arial" w:cs="Arial"/>
          <w:sz w:val="24"/>
          <w:szCs w:val="24"/>
        </w:rPr>
        <w:t xml:space="preserve"> included rough sleeping, financial hardship, older people and support for physical and mental health problems. By consulting with Working Group members the strategy reflects the input of the Homelessness Working Group partners and is based on an understanding of front line services as well as strategic drivers for change, and meeting the challenges brought about by changes in legislation, particularly welfare reform and the Homelessness Reduction Act. </w:t>
      </w:r>
    </w:p>
    <w:p w:rsidR="009B2F9F" w:rsidRDefault="00090545" w:rsidP="009B2F9F">
      <w:pPr>
        <w:jc w:val="both"/>
        <w:rPr>
          <w:rFonts w:ascii="Arial" w:hAnsi="Arial" w:cs="Arial"/>
          <w:sz w:val="24"/>
          <w:szCs w:val="24"/>
        </w:rPr>
      </w:pPr>
      <w:r>
        <w:rPr>
          <w:rFonts w:ascii="Arial" w:hAnsi="Arial" w:cs="Arial"/>
          <w:sz w:val="24"/>
          <w:szCs w:val="24"/>
        </w:rPr>
        <w:t>In</w:t>
      </w:r>
      <w:r w:rsidR="009B2F9F">
        <w:rPr>
          <w:rFonts w:ascii="Arial" w:hAnsi="Arial" w:cs="Arial"/>
          <w:sz w:val="24"/>
          <w:szCs w:val="24"/>
        </w:rPr>
        <w:t xml:space="preserve"> considering feedback from the Working Group and changes in legislation, </w:t>
      </w:r>
      <w:r w:rsidR="00D96E67" w:rsidRPr="00D42856">
        <w:rPr>
          <w:rFonts w:ascii="Arial" w:hAnsi="Arial" w:cs="Arial"/>
          <w:sz w:val="24"/>
          <w:szCs w:val="24"/>
        </w:rPr>
        <w:t>the Housing Advice Team will undertake work on</w:t>
      </w:r>
      <w:r w:rsidR="00D96E67" w:rsidRPr="00D96E67">
        <w:rPr>
          <w:rFonts w:ascii="Arial" w:hAnsi="Arial" w:cs="Arial"/>
          <w:b/>
          <w:sz w:val="24"/>
          <w:szCs w:val="24"/>
        </w:rPr>
        <w:t xml:space="preserve"> </w:t>
      </w:r>
      <w:r w:rsidR="00D96E67" w:rsidRPr="00D42856">
        <w:rPr>
          <w:rFonts w:ascii="Arial" w:hAnsi="Arial" w:cs="Arial"/>
          <w:sz w:val="24"/>
          <w:szCs w:val="24"/>
        </w:rPr>
        <w:t>establishing targets, responsibilities and time frames for the actions.</w:t>
      </w:r>
      <w:r w:rsidR="009B2F9F">
        <w:rPr>
          <w:rFonts w:ascii="Arial" w:hAnsi="Arial" w:cs="Arial"/>
          <w:sz w:val="24"/>
          <w:szCs w:val="24"/>
        </w:rPr>
        <w:t xml:space="preserve">  The strategy is very much a partnership document and, as it reflects the views and aspirations of Working Group members, the intention is that all partners will be involved in its delivery. Implementation of the strategy will be monitored through the Working Group and its success will be reviewed annually. </w:t>
      </w:r>
    </w:p>
    <w:p w:rsidR="00337616" w:rsidRDefault="00337616" w:rsidP="009B2F9F">
      <w:pPr>
        <w:jc w:val="both"/>
        <w:rPr>
          <w:rFonts w:ascii="Arial" w:hAnsi="Arial" w:cs="Arial"/>
          <w:sz w:val="24"/>
          <w:szCs w:val="24"/>
        </w:rPr>
      </w:pPr>
    </w:p>
    <w:p w:rsidR="00337616" w:rsidRPr="00284BC8" w:rsidRDefault="00DD195A" w:rsidP="00337616">
      <w:pPr>
        <w:rPr>
          <w:rFonts w:ascii="Arial" w:hAnsi="Arial" w:cs="Arial"/>
          <w:b/>
          <w:sz w:val="24"/>
          <w:szCs w:val="24"/>
        </w:rPr>
      </w:pPr>
      <w:r>
        <w:rPr>
          <w:rFonts w:ascii="Arial" w:hAnsi="Arial" w:cs="Arial"/>
          <w:b/>
          <w:sz w:val="24"/>
          <w:szCs w:val="24"/>
        </w:rPr>
        <w:t xml:space="preserve">HOMELESSNESS REVIEW: </w:t>
      </w:r>
      <w:r w:rsidR="00337616">
        <w:rPr>
          <w:rFonts w:ascii="Arial" w:hAnsi="Arial" w:cs="Arial"/>
          <w:b/>
          <w:sz w:val="24"/>
          <w:szCs w:val="24"/>
        </w:rPr>
        <w:t>National and Local Context</w:t>
      </w:r>
      <w:r w:rsidR="00D42856">
        <w:rPr>
          <w:rFonts w:ascii="Arial" w:hAnsi="Arial" w:cs="Arial"/>
          <w:b/>
          <w:sz w:val="24"/>
          <w:szCs w:val="24"/>
        </w:rPr>
        <w:t>s</w:t>
      </w:r>
      <w:r w:rsidR="00337616" w:rsidRPr="00284BC8">
        <w:rPr>
          <w:rFonts w:ascii="Arial" w:hAnsi="Arial" w:cs="Arial"/>
          <w:b/>
          <w:sz w:val="24"/>
          <w:szCs w:val="24"/>
        </w:rPr>
        <w:t xml:space="preserve"> </w:t>
      </w:r>
    </w:p>
    <w:p w:rsidR="00337616" w:rsidRPr="004B2850" w:rsidRDefault="00337616" w:rsidP="00337616">
      <w:pPr>
        <w:jc w:val="both"/>
        <w:rPr>
          <w:rFonts w:ascii="Arial" w:hAnsi="Arial" w:cs="Arial"/>
          <w:sz w:val="24"/>
          <w:szCs w:val="24"/>
          <w:u w:val="single"/>
        </w:rPr>
      </w:pPr>
      <w:r w:rsidRPr="004B2850">
        <w:rPr>
          <w:rFonts w:ascii="Arial" w:hAnsi="Arial" w:cs="Arial"/>
          <w:sz w:val="24"/>
          <w:szCs w:val="24"/>
          <w:u w:val="single"/>
        </w:rPr>
        <w:t>National Context</w:t>
      </w:r>
    </w:p>
    <w:p w:rsidR="00337616" w:rsidRPr="004B2850" w:rsidRDefault="00337616" w:rsidP="00337616">
      <w:pPr>
        <w:jc w:val="both"/>
        <w:rPr>
          <w:rFonts w:ascii="Arial" w:hAnsi="Arial" w:cs="Arial"/>
          <w:sz w:val="24"/>
          <w:szCs w:val="24"/>
        </w:rPr>
      </w:pPr>
      <w:r w:rsidRPr="004B2850">
        <w:rPr>
          <w:rFonts w:ascii="Arial" w:hAnsi="Arial" w:cs="Arial"/>
          <w:sz w:val="24"/>
          <w:szCs w:val="24"/>
        </w:rPr>
        <w:t xml:space="preserve">The Homeless Reduction Act 2017 is the most significant change to homeless legislation for decades and has strengthened the emphasis on prevention and early intervention.  This was a private members bill that passed into legislation having received cross party support and was a response to levels of homelessness </w:t>
      </w:r>
      <w:r>
        <w:rPr>
          <w:rFonts w:ascii="Arial" w:hAnsi="Arial" w:cs="Arial"/>
          <w:sz w:val="24"/>
          <w:szCs w:val="24"/>
        </w:rPr>
        <w:t xml:space="preserve">which have been </w:t>
      </w:r>
      <w:r w:rsidRPr="004B2850">
        <w:rPr>
          <w:rFonts w:ascii="Arial" w:hAnsi="Arial" w:cs="Arial"/>
          <w:sz w:val="24"/>
          <w:szCs w:val="24"/>
        </w:rPr>
        <w:t>consistently increasing since 2010. The graph below shows the number of homeless acceptances each financial year since 2008-9 across England. This clearly demonstrates a 50% increase in homeless acceptances since 2010 from around 40 000 to 60 000.</w:t>
      </w:r>
    </w:p>
    <w:p w:rsidR="00337616" w:rsidRDefault="00337616" w:rsidP="00337616">
      <w:pPr>
        <w:jc w:val="center"/>
        <w:rPr>
          <w:rFonts w:ascii="Arial" w:hAnsi="Arial" w:cs="Arial"/>
          <w:b/>
          <w:sz w:val="24"/>
          <w:szCs w:val="24"/>
        </w:rPr>
      </w:pPr>
    </w:p>
    <w:p w:rsidR="00337616" w:rsidRDefault="00337616" w:rsidP="00337616">
      <w:pPr>
        <w:jc w:val="center"/>
        <w:rPr>
          <w:rFonts w:ascii="Arial" w:hAnsi="Arial" w:cs="Arial"/>
          <w:b/>
          <w:sz w:val="24"/>
          <w:szCs w:val="24"/>
        </w:rPr>
      </w:pPr>
    </w:p>
    <w:p w:rsidR="00337616" w:rsidRDefault="00337616" w:rsidP="00337616">
      <w:pPr>
        <w:jc w:val="center"/>
        <w:rPr>
          <w:rFonts w:ascii="Arial" w:hAnsi="Arial" w:cs="Arial"/>
          <w:b/>
          <w:sz w:val="24"/>
          <w:szCs w:val="24"/>
        </w:rPr>
      </w:pPr>
    </w:p>
    <w:p w:rsidR="00337616" w:rsidRDefault="00337616" w:rsidP="00337616">
      <w:pPr>
        <w:jc w:val="center"/>
        <w:rPr>
          <w:rFonts w:ascii="Arial" w:hAnsi="Arial" w:cs="Arial"/>
          <w:b/>
          <w:sz w:val="24"/>
          <w:szCs w:val="24"/>
        </w:rPr>
      </w:pPr>
    </w:p>
    <w:p w:rsidR="00337616" w:rsidRDefault="00337616" w:rsidP="00337616">
      <w:pPr>
        <w:jc w:val="center"/>
        <w:rPr>
          <w:rFonts w:ascii="Arial" w:hAnsi="Arial" w:cs="Arial"/>
          <w:b/>
          <w:sz w:val="24"/>
          <w:szCs w:val="24"/>
        </w:rPr>
      </w:pPr>
    </w:p>
    <w:p w:rsidR="00337616" w:rsidRDefault="00337616" w:rsidP="00337616">
      <w:pPr>
        <w:jc w:val="center"/>
        <w:rPr>
          <w:rFonts w:ascii="Arial" w:hAnsi="Arial" w:cs="Arial"/>
          <w:b/>
          <w:sz w:val="24"/>
          <w:szCs w:val="24"/>
        </w:rPr>
      </w:pPr>
    </w:p>
    <w:p w:rsidR="00337616" w:rsidRPr="004B2850" w:rsidRDefault="00337616" w:rsidP="00337616">
      <w:pPr>
        <w:jc w:val="center"/>
        <w:rPr>
          <w:rFonts w:ascii="Arial" w:hAnsi="Arial" w:cs="Arial"/>
          <w:sz w:val="24"/>
          <w:szCs w:val="24"/>
        </w:rPr>
      </w:pPr>
      <w:r w:rsidRPr="004B2850">
        <w:rPr>
          <w:rFonts w:ascii="Arial" w:hAnsi="Arial" w:cs="Arial"/>
          <w:b/>
          <w:sz w:val="24"/>
          <w:szCs w:val="24"/>
        </w:rPr>
        <w:t xml:space="preserve">England: Homeless Acceptances </w:t>
      </w:r>
      <w:r>
        <w:rPr>
          <w:rFonts w:ascii="Arial" w:hAnsi="Arial" w:cs="Arial"/>
          <w:b/>
          <w:sz w:val="24"/>
          <w:szCs w:val="24"/>
        </w:rPr>
        <w:t>from</w:t>
      </w:r>
      <w:r w:rsidRPr="004B2850">
        <w:rPr>
          <w:rFonts w:ascii="Arial" w:hAnsi="Arial" w:cs="Arial"/>
          <w:b/>
          <w:sz w:val="24"/>
          <w:szCs w:val="24"/>
        </w:rPr>
        <w:t xml:space="preserve"> 2008-9</w:t>
      </w:r>
      <w:r w:rsidRPr="004B2850">
        <w:rPr>
          <w:rFonts w:ascii="Arial" w:hAnsi="Arial" w:cs="Arial"/>
          <w:sz w:val="24"/>
          <w:szCs w:val="24"/>
        </w:rPr>
        <w:t>.</w:t>
      </w:r>
    </w:p>
    <w:p w:rsidR="00337616" w:rsidRDefault="00337616" w:rsidP="00337616">
      <w:pPr>
        <w:jc w:val="center"/>
        <w:rPr>
          <w:rFonts w:ascii="Arial" w:hAnsi="Arial" w:cs="Arial"/>
        </w:rPr>
      </w:pPr>
      <w:r>
        <w:rPr>
          <w:rFonts w:ascii="Arial" w:hAnsi="Arial" w:cs="Arial"/>
          <w:noProof/>
          <w:lang w:eastAsia="en-GB"/>
        </w:rPr>
        <w:drawing>
          <wp:inline distT="0" distB="0" distL="0" distR="0">
            <wp:extent cx="6181725" cy="3790950"/>
            <wp:effectExtent l="19050" t="0" r="9525"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37616" w:rsidRDefault="00337616" w:rsidP="00337616">
      <w:pPr>
        <w:jc w:val="both"/>
        <w:rPr>
          <w:rFonts w:ascii="Arial" w:hAnsi="Arial" w:cs="Arial"/>
        </w:rPr>
      </w:pPr>
    </w:p>
    <w:p w:rsidR="00337616" w:rsidRPr="004B2850" w:rsidRDefault="00337616" w:rsidP="00337616">
      <w:pPr>
        <w:jc w:val="both"/>
        <w:rPr>
          <w:rFonts w:ascii="Arial" w:hAnsi="Arial" w:cs="Arial"/>
          <w:sz w:val="24"/>
          <w:szCs w:val="24"/>
        </w:rPr>
      </w:pPr>
      <w:r w:rsidRPr="004B2850">
        <w:rPr>
          <w:rFonts w:ascii="Arial" w:hAnsi="Arial" w:cs="Arial"/>
          <w:sz w:val="24"/>
          <w:szCs w:val="24"/>
        </w:rPr>
        <w:t>As can be seen from the graph below, Stroud had managed to buck the national increase in homelessness through proactive prevention measures, but homeless acceptances have risen over the last few years.</w:t>
      </w:r>
    </w:p>
    <w:p w:rsidR="00337616" w:rsidRDefault="00337616" w:rsidP="00337616">
      <w:pPr>
        <w:jc w:val="both"/>
        <w:rPr>
          <w:rFonts w:ascii="Arial" w:hAnsi="Arial" w:cs="Arial"/>
        </w:rPr>
      </w:pPr>
    </w:p>
    <w:p w:rsidR="00337616" w:rsidRDefault="00337616" w:rsidP="00337616">
      <w:pPr>
        <w:jc w:val="center"/>
        <w:rPr>
          <w:rFonts w:ascii="Arial" w:hAnsi="Arial" w:cs="Arial"/>
          <w:b/>
          <w:sz w:val="24"/>
          <w:szCs w:val="24"/>
        </w:rPr>
      </w:pPr>
    </w:p>
    <w:p w:rsidR="00337616" w:rsidRDefault="00337616" w:rsidP="00337616">
      <w:pPr>
        <w:jc w:val="center"/>
        <w:rPr>
          <w:rFonts w:ascii="Arial" w:hAnsi="Arial" w:cs="Arial"/>
          <w:b/>
          <w:sz w:val="24"/>
          <w:szCs w:val="24"/>
        </w:rPr>
      </w:pPr>
    </w:p>
    <w:p w:rsidR="00337616" w:rsidRPr="00024621" w:rsidRDefault="00337616" w:rsidP="00337616">
      <w:pPr>
        <w:jc w:val="center"/>
        <w:rPr>
          <w:rFonts w:ascii="Arial" w:hAnsi="Arial" w:cs="Arial"/>
          <w:b/>
          <w:sz w:val="24"/>
          <w:szCs w:val="24"/>
        </w:rPr>
      </w:pPr>
      <w:r w:rsidRPr="00A3108A">
        <w:rPr>
          <w:rFonts w:ascii="Arial" w:hAnsi="Arial" w:cs="Arial"/>
          <w:b/>
          <w:sz w:val="24"/>
          <w:szCs w:val="24"/>
        </w:rPr>
        <w:t xml:space="preserve">Stroud: Homeless Acceptances </w:t>
      </w:r>
      <w:r>
        <w:rPr>
          <w:rFonts w:ascii="Arial" w:hAnsi="Arial" w:cs="Arial"/>
          <w:b/>
          <w:sz w:val="24"/>
          <w:szCs w:val="24"/>
        </w:rPr>
        <w:t>from</w:t>
      </w:r>
      <w:r w:rsidRPr="00A3108A">
        <w:rPr>
          <w:rFonts w:ascii="Arial" w:hAnsi="Arial" w:cs="Arial"/>
          <w:b/>
          <w:sz w:val="24"/>
          <w:szCs w:val="24"/>
        </w:rPr>
        <w:t xml:space="preserve"> 2008-9.</w:t>
      </w:r>
    </w:p>
    <w:p w:rsidR="00337616" w:rsidRDefault="00337616" w:rsidP="00337616">
      <w:pPr>
        <w:jc w:val="center"/>
        <w:rPr>
          <w:rFonts w:ascii="Arial" w:hAnsi="Arial" w:cs="Arial"/>
        </w:rPr>
      </w:pPr>
      <w:r w:rsidRPr="00E47A92">
        <w:rPr>
          <w:rFonts w:ascii="Arial" w:hAnsi="Arial" w:cs="Arial"/>
          <w:noProof/>
          <w:lang w:eastAsia="en-GB"/>
        </w:rPr>
        <w:drawing>
          <wp:inline distT="0" distB="0" distL="0" distR="0">
            <wp:extent cx="6496050" cy="2505075"/>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7616" w:rsidRDefault="00337616" w:rsidP="00337616">
      <w:pPr>
        <w:jc w:val="both"/>
        <w:rPr>
          <w:rFonts w:ascii="Arial" w:hAnsi="Arial" w:cs="Arial"/>
          <w:sz w:val="24"/>
          <w:szCs w:val="24"/>
          <w:u w:val="single"/>
        </w:rPr>
      </w:pPr>
    </w:p>
    <w:p w:rsidR="00337616" w:rsidRPr="004B2850" w:rsidRDefault="00337616" w:rsidP="00337616">
      <w:pPr>
        <w:jc w:val="both"/>
        <w:rPr>
          <w:rFonts w:ascii="Arial" w:hAnsi="Arial" w:cs="Arial"/>
          <w:sz w:val="24"/>
          <w:szCs w:val="24"/>
          <w:u w:val="single"/>
        </w:rPr>
      </w:pPr>
      <w:r w:rsidRPr="004B2850">
        <w:rPr>
          <w:rFonts w:ascii="Arial" w:hAnsi="Arial" w:cs="Arial"/>
          <w:sz w:val="24"/>
          <w:szCs w:val="24"/>
          <w:u w:val="single"/>
        </w:rPr>
        <w:t>National Context: Rough Sleeping.</w:t>
      </w:r>
    </w:p>
    <w:p w:rsidR="00337616" w:rsidRPr="004B2850" w:rsidRDefault="00337616" w:rsidP="00337616">
      <w:pPr>
        <w:jc w:val="both"/>
        <w:rPr>
          <w:rFonts w:ascii="Arial" w:hAnsi="Arial" w:cs="Arial"/>
          <w:sz w:val="24"/>
          <w:szCs w:val="24"/>
        </w:rPr>
      </w:pPr>
      <w:r w:rsidRPr="004B2850">
        <w:rPr>
          <w:rFonts w:ascii="Arial" w:hAnsi="Arial" w:cs="Arial"/>
          <w:sz w:val="24"/>
          <w:szCs w:val="24"/>
        </w:rPr>
        <w:t>Rough sleeping figures have increased significantly since 2010 with numbers more than doubling, as can be seen from the graph below. The government</w:t>
      </w:r>
      <w:r>
        <w:rPr>
          <w:rFonts w:ascii="Arial" w:hAnsi="Arial" w:cs="Arial"/>
          <w:sz w:val="24"/>
          <w:szCs w:val="24"/>
        </w:rPr>
        <w:t>, in its Rough Sleeping Strategy,</w:t>
      </w:r>
      <w:r w:rsidRPr="004B2850">
        <w:rPr>
          <w:rFonts w:ascii="Arial" w:hAnsi="Arial" w:cs="Arial"/>
          <w:sz w:val="24"/>
          <w:szCs w:val="24"/>
        </w:rPr>
        <w:t xml:space="preserve"> ha</w:t>
      </w:r>
      <w:r>
        <w:rPr>
          <w:rFonts w:ascii="Arial" w:hAnsi="Arial" w:cs="Arial"/>
          <w:sz w:val="24"/>
          <w:szCs w:val="24"/>
        </w:rPr>
        <w:t>s</w:t>
      </w:r>
      <w:r w:rsidRPr="004B2850">
        <w:rPr>
          <w:rFonts w:ascii="Arial" w:hAnsi="Arial" w:cs="Arial"/>
          <w:sz w:val="24"/>
          <w:szCs w:val="24"/>
        </w:rPr>
        <w:t xml:space="preserve"> committed to halving rough sleeping by 2022 and ending it by 2027, and have provided funding to Local Authorities for several initiatives including the Rapid </w:t>
      </w:r>
      <w:proofErr w:type="spellStart"/>
      <w:r w:rsidRPr="004B2850">
        <w:rPr>
          <w:rFonts w:ascii="Arial" w:hAnsi="Arial" w:cs="Arial"/>
          <w:sz w:val="24"/>
          <w:szCs w:val="24"/>
        </w:rPr>
        <w:t>Rehousing</w:t>
      </w:r>
      <w:proofErr w:type="spellEnd"/>
      <w:r w:rsidRPr="004B2850">
        <w:rPr>
          <w:rFonts w:ascii="Arial" w:hAnsi="Arial" w:cs="Arial"/>
          <w:sz w:val="24"/>
          <w:szCs w:val="24"/>
        </w:rPr>
        <w:t xml:space="preserve"> Pathway and Housing First projects.</w:t>
      </w:r>
      <w:r>
        <w:rPr>
          <w:rFonts w:ascii="Arial" w:hAnsi="Arial" w:cs="Arial"/>
          <w:sz w:val="24"/>
          <w:szCs w:val="24"/>
        </w:rPr>
        <w:t xml:space="preserve"> Official figures for rough sleepers are based on an annual count on a particular night and are either an actual street count or an estimate based on intelligence from various agencies that deal with street homeless people.</w:t>
      </w:r>
    </w:p>
    <w:p w:rsidR="00337616" w:rsidRDefault="00337616" w:rsidP="00337616">
      <w:pPr>
        <w:jc w:val="both"/>
        <w:rPr>
          <w:rFonts w:ascii="Arial" w:hAnsi="Arial" w:cs="Arial"/>
          <w:u w:val="single"/>
        </w:rPr>
      </w:pPr>
    </w:p>
    <w:p w:rsidR="00337616" w:rsidRDefault="00337616" w:rsidP="00337616">
      <w:pPr>
        <w:jc w:val="both"/>
        <w:rPr>
          <w:rFonts w:ascii="Arial" w:hAnsi="Arial" w:cs="Arial"/>
          <w:u w:val="single"/>
        </w:rPr>
      </w:pPr>
    </w:p>
    <w:p w:rsidR="00337616" w:rsidRDefault="00337616" w:rsidP="00337616">
      <w:pPr>
        <w:jc w:val="both"/>
        <w:rPr>
          <w:rFonts w:ascii="Arial" w:hAnsi="Arial" w:cs="Arial"/>
          <w:u w:val="single"/>
        </w:rPr>
      </w:pPr>
    </w:p>
    <w:p w:rsidR="00337616" w:rsidRPr="00FD504D" w:rsidRDefault="00337616" w:rsidP="00337616">
      <w:pPr>
        <w:jc w:val="center"/>
        <w:rPr>
          <w:rFonts w:ascii="Arial" w:hAnsi="Arial" w:cs="Arial"/>
          <w:b/>
          <w:sz w:val="24"/>
          <w:szCs w:val="24"/>
          <w:u w:val="single"/>
        </w:rPr>
      </w:pPr>
      <w:r w:rsidRPr="00FD504D">
        <w:rPr>
          <w:rFonts w:ascii="Arial" w:hAnsi="Arial" w:cs="Arial"/>
          <w:b/>
          <w:sz w:val="24"/>
          <w:szCs w:val="24"/>
          <w:u w:val="single"/>
        </w:rPr>
        <w:t>England</w:t>
      </w:r>
      <w:r>
        <w:rPr>
          <w:rFonts w:ascii="Arial" w:hAnsi="Arial" w:cs="Arial"/>
          <w:b/>
          <w:sz w:val="24"/>
          <w:szCs w:val="24"/>
          <w:u w:val="single"/>
        </w:rPr>
        <w:t>:</w:t>
      </w:r>
      <w:r w:rsidRPr="00FD504D">
        <w:rPr>
          <w:rFonts w:ascii="Arial" w:hAnsi="Arial" w:cs="Arial"/>
          <w:b/>
          <w:sz w:val="24"/>
          <w:szCs w:val="24"/>
          <w:u w:val="single"/>
        </w:rPr>
        <w:t xml:space="preserve"> Rough Sleeping Figures from 2010</w:t>
      </w:r>
      <w:r>
        <w:rPr>
          <w:rFonts w:ascii="Arial" w:hAnsi="Arial" w:cs="Arial"/>
          <w:b/>
          <w:sz w:val="24"/>
          <w:szCs w:val="24"/>
          <w:u w:val="single"/>
        </w:rPr>
        <w:t xml:space="preserve"> to 2018</w:t>
      </w:r>
    </w:p>
    <w:p w:rsidR="00337616" w:rsidRDefault="00337616" w:rsidP="00337616">
      <w:pPr>
        <w:jc w:val="both"/>
        <w:rPr>
          <w:rFonts w:ascii="Arial" w:hAnsi="Arial" w:cs="Arial"/>
          <w:u w:val="single"/>
        </w:rPr>
      </w:pPr>
    </w:p>
    <w:p w:rsidR="00337616" w:rsidRDefault="00337616" w:rsidP="00337616">
      <w:pPr>
        <w:jc w:val="center"/>
        <w:rPr>
          <w:rFonts w:ascii="Arial" w:hAnsi="Arial" w:cs="Arial"/>
          <w:u w:val="single"/>
        </w:rPr>
      </w:pPr>
      <w:r w:rsidRPr="003F3E73">
        <w:rPr>
          <w:rFonts w:ascii="Arial" w:hAnsi="Arial" w:cs="Arial"/>
          <w:noProof/>
          <w:u w:val="single"/>
          <w:lang w:eastAsia="en-GB"/>
        </w:rPr>
        <w:drawing>
          <wp:inline distT="0" distB="0" distL="0" distR="0">
            <wp:extent cx="5844771" cy="3283527"/>
            <wp:effectExtent l="19050" t="0" r="22629"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Arial" w:hAnsi="Arial" w:cs="Arial"/>
          <w:u w:val="single"/>
        </w:rPr>
        <w:t xml:space="preserve"> </w:t>
      </w:r>
    </w:p>
    <w:p w:rsidR="00337616" w:rsidRDefault="00337616" w:rsidP="00337616">
      <w:pPr>
        <w:jc w:val="both"/>
        <w:rPr>
          <w:rFonts w:ascii="Arial" w:hAnsi="Arial" w:cs="Arial"/>
          <w:u w:val="single"/>
        </w:rPr>
      </w:pPr>
    </w:p>
    <w:p w:rsidR="00337616" w:rsidRPr="00FD504D" w:rsidRDefault="00337616" w:rsidP="00337616">
      <w:pPr>
        <w:jc w:val="both"/>
        <w:rPr>
          <w:rFonts w:ascii="Arial" w:hAnsi="Arial" w:cs="Arial"/>
          <w:sz w:val="24"/>
          <w:szCs w:val="24"/>
        </w:rPr>
      </w:pPr>
      <w:r w:rsidRPr="00FD504D">
        <w:rPr>
          <w:rFonts w:ascii="Arial" w:hAnsi="Arial" w:cs="Arial"/>
          <w:sz w:val="24"/>
          <w:szCs w:val="24"/>
        </w:rPr>
        <w:t xml:space="preserve">In comparison, the figures for Stroud have remained fairly stable dropping from 5 to </w:t>
      </w:r>
      <w:r>
        <w:rPr>
          <w:rFonts w:ascii="Arial" w:hAnsi="Arial" w:cs="Arial"/>
          <w:sz w:val="24"/>
          <w:szCs w:val="24"/>
        </w:rPr>
        <w:t xml:space="preserve">just </w:t>
      </w:r>
      <w:r w:rsidRPr="00FD504D">
        <w:rPr>
          <w:rFonts w:ascii="Arial" w:hAnsi="Arial" w:cs="Arial"/>
          <w:sz w:val="24"/>
          <w:szCs w:val="24"/>
        </w:rPr>
        <w:t xml:space="preserve">1 in 2014 and </w:t>
      </w:r>
      <w:r>
        <w:rPr>
          <w:rFonts w:ascii="Arial" w:hAnsi="Arial" w:cs="Arial"/>
          <w:sz w:val="24"/>
          <w:szCs w:val="24"/>
        </w:rPr>
        <w:t xml:space="preserve">then </w:t>
      </w:r>
      <w:r w:rsidRPr="00FD504D">
        <w:rPr>
          <w:rFonts w:ascii="Arial" w:hAnsi="Arial" w:cs="Arial"/>
          <w:sz w:val="24"/>
          <w:szCs w:val="24"/>
        </w:rPr>
        <w:t>being a consistent 2 for three years</w:t>
      </w:r>
      <w:r>
        <w:rPr>
          <w:rFonts w:ascii="Arial" w:hAnsi="Arial" w:cs="Arial"/>
          <w:sz w:val="24"/>
          <w:szCs w:val="24"/>
        </w:rPr>
        <w:t xml:space="preserve"> but then increasing to 4 in 2018.</w:t>
      </w:r>
    </w:p>
    <w:p w:rsidR="00337616" w:rsidRPr="00574985" w:rsidRDefault="00337616" w:rsidP="00337616">
      <w:pPr>
        <w:jc w:val="both"/>
        <w:rPr>
          <w:rFonts w:ascii="Arial" w:hAnsi="Arial" w:cs="Arial"/>
          <w:u w:val="single"/>
        </w:rPr>
      </w:pPr>
    </w:p>
    <w:p w:rsidR="00337616" w:rsidRPr="00FD504D" w:rsidRDefault="00337616" w:rsidP="00337616">
      <w:pPr>
        <w:jc w:val="both"/>
        <w:rPr>
          <w:rFonts w:ascii="Arial" w:hAnsi="Arial" w:cs="Arial"/>
          <w:sz w:val="24"/>
          <w:szCs w:val="24"/>
          <w:u w:val="single"/>
        </w:rPr>
      </w:pPr>
      <w:r w:rsidRPr="00FD504D">
        <w:rPr>
          <w:rFonts w:ascii="Arial" w:hAnsi="Arial" w:cs="Arial"/>
          <w:sz w:val="24"/>
          <w:szCs w:val="24"/>
          <w:u w:val="single"/>
        </w:rPr>
        <w:t>Local Context</w:t>
      </w:r>
      <w:r>
        <w:rPr>
          <w:rFonts w:ascii="Arial" w:hAnsi="Arial" w:cs="Arial"/>
          <w:sz w:val="24"/>
          <w:szCs w:val="24"/>
          <w:u w:val="single"/>
        </w:rPr>
        <w:t>: Introduction.</w:t>
      </w:r>
    </w:p>
    <w:p w:rsidR="00337616" w:rsidRDefault="00337616" w:rsidP="00337616">
      <w:pPr>
        <w:jc w:val="both"/>
        <w:rPr>
          <w:rFonts w:ascii="Arial" w:hAnsi="Arial" w:cs="Arial"/>
          <w:sz w:val="24"/>
          <w:szCs w:val="24"/>
        </w:rPr>
      </w:pPr>
      <w:r w:rsidRPr="00FD504D">
        <w:rPr>
          <w:rFonts w:ascii="Arial" w:hAnsi="Arial" w:cs="Arial"/>
          <w:sz w:val="24"/>
          <w:szCs w:val="24"/>
        </w:rPr>
        <w:t>The Homeless Reduction Act has formalised and made statutory the prevention approach to homelessness that Stroud has been taking for some years. The time limit before a homeless duty is triggered has been extended from 28 days to 56 days before actual homelessness. If homelessness is not prevented during this period, there is a further duty to relieve the homelessness for another 56 days. Theses duties apply regardless of intentionality or priority need. The council only has to be satisfied that the applicant is homeless and eligible for assistance. The provisions of the Act have added significantly to both the bureaucracy involved, as well as an increase in caseload.  To meet the extra duties, the Housing Advice Team has recruited one full time officer post and one part time business support post, funded by grants from central government. This is approximately a 10% increase in staff resources. However the posts are temporary</w:t>
      </w:r>
      <w:r w:rsidR="009E1995">
        <w:rPr>
          <w:rFonts w:ascii="Arial" w:hAnsi="Arial" w:cs="Arial"/>
          <w:sz w:val="24"/>
          <w:szCs w:val="24"/>
        </w:rPr>
        <w:t xml:space="preserve"> </w:t>
      </w:r>
      <w:r w:rsidRPr="00FD504D">
        <w:rPr>
          <w:rFonts w:ascii="Arial" w:hAnsi="Arial" w:cs="Arial"/>
          <w:sz w:val="24"/>
          <w:szCs w:val="24"/>
        </w:rPr>
        <w:t>on fixed term contracts. So far monthly caseloads have increased by an average of more than 2</w:t>
      </w:r>
      <w:r w:rsidR="00D42856">
        <w:rPr>
          <w:rFonts w:ascii="Arial" w:hAnsi="Arial" w:cs="Arial"/>
          <w:sz w:val="24"/>
          <w:szCs w:val="24"/>
        </w:rPr>
        <w:t>0</w:t>
      </w:r>
      <w:r w:rsidRPr="00FD504D">
        <w:rPr>
          <w:rFonts w:ascii="Arial" w:hAnsi="Arial" w:cs="Arial"/>
          <w:sz w:val="24"/>
          <w:szCs w:val="24"/>
        </w:rPr>
        <w:t xml:space="preserve">0% compared to the same months in the previous year. This has presented a challenging environment for the Housing Advice Team in terms of carrying out the council’s new statutory duties under </w:t>
      </w:r>
      <w:r>
        <w:rPr>
          <w:rFonts w:ascii="Arial" w:hAnsi="Arial" w:cs="Arial"/>
          <w:sz w:val="24"/>
          <w:szCs w:val="24"/>
        </w:rPr>
        <w:t xml:space="preserve">the </w:t>
      </w:r>
      <w:r w:rsidRPr="00FD504D">
        <w:rPr>
          <w:rFonts w:ascii="Arial" w:hAnsi="Arial" w:cs="Arial"/>
          <w:sz w:val="24"/>
          <w:szCs w:val="24"/>
        </w:rPr>
        <w:t>Homeless Reduction Act.</w:t>
      </w:r>
    </w:p>
    <w:p w:rsidR="00337616" w:rsidRDefault="00337616" w:rsidP="00337616">
      <w:pPr>
        <w:jc w:val="both"/>
        <w:rPr>
          <w:rFonts w:ascii="Arial" w:hAnsi="Arial" w:cs="Arial"/>
          <w:sz w:val="24"/>
          <w:szCs w:val="24"/>
        </w:rPr>
      </w:pPr>
    </w:p>
    <w:p w:rsidR="00337616" w:rsidRPr="00FD504D" w:rsidRDefault="00337616" w:rsidP="00337616">
      <w:pPr>
        <w:jc w:val="both"/>
        <w:rPr>
          <w:rFonts w:ascii="Arial" w:hAnsi="Arial" w:cs="Arial"/>
          <w:sz w:val="24"/>
          <w:szCs w:val="24"/>
        </w:rPr>
      </w:pPr>
    </w:p>
    <w:tbl>
      <w:tblPr>
        <w:tblStyle w:val="TableGrid"/>
        <w:tblW w:w="0" w:type="auto"/>
        <w:tblInd w:w="2093" w:type="dxa"/>
        <w:tblLook w:val="04A0"/>
      </w:tblPr>
      <w:tblGrid>
        <w:gridCol w:w="1559"/>
        <w:gridCol w:w="3969"/>
        <w:gridCol w:w="4111"/>
      </w:tblGrid>
      <w:tr w:rsidR="00337616" w:rsidTr="00337616">
        <w:tc>
          <w:tcPr>
            <w:tcW w:w="1559" w:type="dxa"/>
          </w:tcPr>
          <w:p w:rsidR="00337616" w:rsidRPr="00FD504D" w:rsidRDefault="00337616" w:rsidP="00337616">
            <w:pPr>
              <w:jc w:val="center"/>
              <w:rPr>
                <w:rFonts w:ascii="Arial" w:hAnsi="Arial" w:cs="Arial"/>
                <w:b/>
                <w:sz w:val="24"/>
                <w:szCs w:val="24"/>
              </w:rPr>
            </w:pPr>
            <w:r w:rsidRPr="00FD504D">
              <w:rPr>
                <w:rFonts w:ascii="Arial" w:hAnsi="Arial" w:cs="Arial"/>
                <w:b/>
                <w:sz w:val="24"/>
                <w:szCs w:val="24"/>
              </w:rPr>
              <w:t>Month.</w:t>
            </w:r>
          </w:p>
        </w:tc>
        <w:tc>
          <w:tcPr>
            <w:tcW w:w="3969" w:type="dxa"/>
          </w:tcPr>
          <w:p w:rsidR="00337616" w:rsidRPr="00FD504D" w:rsidRDefault="00337616" w:rsidP="00337616">
            <w:pPr>
              <w:jc w:val="center"/>
              <w:rPr>
                <w:rFonts w:ascii="Arial" w:hAnsi="Arial" w:cs="Arial"/>
                <w:b/>
                <w:sz w:val="24"/>
                <w:szCs w:val="24"/>
              </w:rPr>
            </w:pPr>
            <w:r w:rsidRPr="00FD504D">
              <w:rPr>
                <w:rFonts w:ascii="Arial" w:hAnsi="Arial" w:cs="Arial"/>
                <w:b/>
                <w:sz w:val="24"/>
                <w:szCs w:val="24"/>
              </w:rPr>
              <w:t>2017-18 Homeless Applications.</w:t>
            </w:r>
          </w:p>
        </w:tc>
        <w:tc>
          <w:tcPr>
            <w:tcW w:w="4111" w:type="dxa"/>
          </w:tcPr>
          <w:p w:rsidR="00337616" w:rsidRPr="00FD504D" w:rsidRDefault="00337616" w:rsidP="00337616">
            <w:pPr>
              <w:jc w:val="center"/>
              <w:rPr>
                <w:rFonts w:ascii="Arial" w:hAnsi="Arial" w:cs="Arial"/>
                <w:b/>
                <w:sz w:val="24"/>
                <w:szCs w:val="24"/>
              </w:rPr>
            </w:pPr>
            <w:r w:rsidRPr="00FD504D">
              <w:rPr>
                <w:rFonts w:ascii="Arial" w:hAnsi="Arial" w:cs="Arial"/>
                <w:b/>
                <w:sz w:val="24"/>
                <w:szCs w:val="24"/>
              </w:rPr>
              <w:t>2018-19 Homeless Applications</w:t>
            </w:r>
            <w:r>
              <w:rPr>
                <w:rFonts w:ascii="Arial" w:hAnsi="Arial" w:cs="Arial"/>
                <w:b/>
                <w:sz w:val="24"/>
                <w:szCs w:val="24"/>
              </w:rPr>
              <w:t xml:space="preserve"> (Prevention and Relief)</w:t>
            </w:r>
            <w:r w:rsidRPr="00FD504D">
              <w:rPr>
                <w:rFonts w:ascii="Arial" w:hAnsi="Arial" w:cs="Arial"/>
                <w:b/>
                <w:sz w:val="24"/>
                <w:szCs w:val="24"/>
              </w:rPr>
              <w:t>.</w:t>
            </w:r>
          </w:p>
        </w:tc>
      </w:tr>
      <w:tr w:rsidR="00337616" w:rsidTr="00337616">
        <w:tc>
          <w:tcPr>
            <w:tcW w:w="1559" w:type="dxa"/>
          </w:tcPr>
          <w:p w:rsidR="00337616" w:rsidRDefault="00337616" w:rsidP="00337616">
            <w:pPr>
              <w:jc w:val="both"/>
              <w:rPr>
                <w:rFonts w:ascii="Arial" w:hAnsi="Arial" w:cs="Arial"/>
                <w:sz w:val="24"/>
                <w:szCs w:val="24"/>
              </w:rPr>
            </w:pPr>
          </w:p>
          <w:p w:rsidR="00337616" w:rsidRPr="00FD504D" w:rsidRDefault="00337616" w:rsidP="00337616">
            <w:pPr>
              <w:jc w:val="both"/>
              <w:rPr>
                <w:rFonts w:ascii="Arial" w:hAnsi="Arial" w:cs="Arial"/>
                <w:sz w:val="24"/>
                <w:szCs w:val="24"/>
              </w:rPr>
            </w:pPr>
            <w:r>
              <w:rPr>
                <w:rFonts w:ascii="Arial" w:hAnsi="Arial" w:cs="Arial"/>
                <w:sz w:val="24"/>
                <w:szCs w:val="24"/>
              </w:rPr>
              <w:t>April</w:t>
            </w:r>
          </w:p>
        </w:tc>
        <w:tc>
          <w:tcPr>
            <w:tcW w:w="3969"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6</w:t>
            </w:r>
          </w:p>
        </w:tc>
        <w:tc>
          <w:tcPr>
            <w:tcW w:w="4111"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21 (+250%)</w:t>
            </w:r>
          </w:p>
        </w:tc>
      </w:tr>
      <w:tr w:rsidR="00337616" w:rsidTr="00337616">
        <w:tc>
          <w:tcPr>
            <w:tcW w:w="1559" w:type="dxa"/>
          </w:tcPr>
          <w:p w:rsidR="00337616" w:rsidRDefault="00337616" w:rsidP="00337616">
            <w:pPr>
              <w:jc w:val="both"/>
              <w:rPr>
                <w:rFonts w:ascii="Arial" w:hAnsi="Arial" w:cs="Arial"/>
                <w:sz w:val="24"/>
                <w:szCs w:val="24"/>
              </w:rPr>
            </w:pPr>
          </w:p>
          <w:p w:rsidR="00337616" w:rsidRPr="00FD504D" w:rsidRDefault="00337616" w:rsidP="00337616">
            <w:pPr>
              <w:jc w:val="both"/>
              <w:rPr>
                <w:rFonts w:ascii="Arial" w:hAnsi="Arial" w:cs="Arial"/>
                <w:sz w:val="24"/>
                <w:szCs w:val="24"/>
              </w:rPr>
            </w:pPr>
            <w:r>
              <w:rPr>
                <w:rFonts w:ascii="Arial" w:hAnsi="Arial" w:cs="Arial"/>
                <w:sz w:val="24"/>
                <w:szCs w:val="24"/>
              </w:rPr>
              <w:t>May</w:t>
            </w:r>
          </w:p>
        </w:tc>
        <w:tc>
          <w:tcPr>
            <w:tcW w:w="3969"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6</w:t>
            </w:r>
          </w:p>
        </w:tc>
        <w:tc>
          <w:tcPr>
            <w:tcW w:w="4111"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19 (+217%)</w:t>
            </w:r>
          </w:p>
        </w:tc>
      </w:tr>
      <w:tr w:rsidR="00337616" w:rsidTr="00337616">
        <w:tc>
          <w:tcPr>
            <w:tcW w:w="1559" w:type="dxa"/>
          </w:tcPr>
          <w:p w:rsidR="00337616" w:rsidRDefault="00337616" w:rsidP="00337616">
            <w:pPr>
              <w:jc w:val="both"/>
              <w:rPr>
                <w:rFonts w:ascii="Arial" w:hAnsi="Arial" w:cs="Arial"/>
                <w:sz w:val="24"/>
                <w:szCs w:val="24"/>
              </w:rPr>
            </w:pPr>
          </w:p>
          <w:p w:rsidR="00337616" w:rsidRPr="00FD504D" w:rsidRDefault="00337616" w:rsidP="00337616">
            <w:pPr>
              <w:jc w:val="both"/>
              <w:rPr>
                <w:rFonts w:ascii="Arial" w:hAnsi="Arial" w:cs="Arial"/>
                <w:sz w:val="24"/>
                <w:szCs w:val="24"/>
              </w:rPr>
            </w:pPr>
            <w:r>
              <w:rPr>
                <w:rFonts w:ascii="Arial" w:hAnsi="Arial" w:cs="Arial"/>
                <w:sz w:val="24"/>
                <w:szCs w:val="24"/>
              </w:rPr>
              <w:t>June</w:t>
            </w:r>
          </w:p>
        </w:tc>
        <w:tc>
          <w:tcPr>
            <w:tcW w:w="3969"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14</w:t>
            </w:r>
          </w:p>
        </w:tc>
        <w:tc>
          <w:tcPr>
            <w:tcW w:w="4111"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20 (+43%)</w:t>
            </w:r>
          </w:p>
        </w:tc>
      </w:tr>
      <w:tr w:rsidR="00337616" w:rsidTr="00337616">
        <w:tc>
          <w:tcPr>
            <w:tcW w:w="1559" w:type="dxa"/>
          </w:tcPr>
          <w:p w:rsidR="00337616" w:rsidRDefault="00337616" w:rsidP="00337616">
            <w:pPr>
              <w:jc w:val="both"/>
              <w:rPr>
                <w:rFonts w:ascii="Arial" w:hAnsi="Arial" w:cs="Arial"/>
                <w:sz w:val="24"/>
                <w:szCs w:val="24"/>
              </w:rPr>
            </w:pPr>
          </w:p>
          <w:p w:rsidR="00337616" w:rsidRPr="00FD504D" w:rsidRDefault="00337616" w:rsidP="00337616">
            <w:pPr>
              <w:jc w:val="both"/>
              <w:rPr>
                <w:rFonts w:ascii="Arial" w:hAnsi="Arial" w:cs="Arial"/>
                <w:sz w:val="24"/>
                <w:szCs w:val="24"/>
              </w:rPr>
            </w:pPr>
            <w:r>
              <w:rPr>
                <w:rFonts w:ascii="Arial" w:hAnsi="Arial" w:cs="Arial"/>
                <w:sz w:val="24"/>
                <w:szCs w:val="24"/>
              </w:rPr>
              <w:t>July</w:t>
            </w:r>
          </w:p>
        </w:tc>
        <w:tc>
          <w:tcPr>
            <w:tcW w:w="3969"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19</w:t>
            </w:r>
          </w:p>
        </w:tc>
        <w:tc>
          <w:tcPr>
            <w:tcW w:w="4111"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32 (+68%)</w:t>
            </w:r>
          </w:p>
        </w:tc>
      </w:tr>
      <w:tr w:rsidR="00337616" w:rsidTr="00337616">
        <w:tc>
          <w:tcPr>
            <w:tcW w:w="1559" w:type="dxa"/>
          </w:tcPr>
          <w:p w:rsidR="00337616" w:rsidRDefault="00337616" w:rsidP="00337616">
            <w:pPr>
              <w:jc w:val="both"/>
              <w:rPr>
                <w:rFonts w:ascii="Arial" w:hAnsi="Arial" w:cs="Arial"/>
                <w:sz w:val="24"/>
                <w:szCs w:val="24"/>
              </w:rPr>
            </w:pPr>
          </w:p>
          <w:p w:rsidR="00337616" w:rsidRPr="00FD504D" w:rsidRDefault="00337616" w:rsidP="00337616">
            <w:pPr>
              <w:jc w:val="both"/>
              <w:rPr>
                <w:rFonts w:ascii="Arial" w:hAnsi="Arial" w:cs="Arial"/>
                <w:sz w:val="24"/>
                <w:szCs w:val="24"/>
              </w:rPr>
            </w:pPr>
            <w:r>
              <w:rPr>
                <w:rFonts w:ascii="Arial" w:hAnsi="Arial" w:cs="Arial"/>
                <w:sz w:val="24"/>
                <w:szCs w:val="24"/>
              </w:rPr>
              <w:t>August</w:t>
            </w:r>
          </w:p>
        </w:tc>
        <w:tc>
          <w:tcPr>
            <w:tcW w:w="3969"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7</w:t>
            </w:r>
          </w:p>
        </w:tc>
        <w:tc>
          <w:tcPr>
            <w:tcW w:w="4111"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30 (+328%)</w:t>
            </w:r>
          </w:p>
        </w:tc>
      </w:tr>
      <w:tr w:rsidR="00337616" w:rsidTr="00337616">
        <w:tc>
          <w:tcPr>
            <w:tcW w:w="1559" w:type="dxa"/>
          </w:tcPr>
          <w:p w:rsidR="00337616" w:rsidRDefault="00337616" w:rsidP="00337616">
            <w:pPr>
              <w:jc w:val="both"/>
              <w:rPr>
                <w:rFonts w:ascii="Arial" w:hAnsi="Arial" w:cs="Arial"/>
                <w:sz w:val="24"/>
                <w:szCs w:val="24"/>
              </w:rPr>
            </w:pPr>
          </w:p>
          <w:p w:rsidR="00337616" w:rsidRPr="00FD504D" w:rsidRDefault="00337616" w:rsidP="00337616">
            <w:pPr>
              <w:jc w:val="both"/>
              <w:rPr>
                <w:rFonts w:ascii="Arial" w:hAnsi="Arial" w:cs="Arial"/>
                <w:sz w:val="24"/>
                <w:szCs w:val="24"/>
              </w:rPr>
            </w:pPr>
            <w:r>
              <w:rPr>
                <w:rFonts w:ascii="Arial" w:hAnsi="Arial" w:cs="Arial"/>
                <w:sz w:val="24"/>
                <w:szCs w:val="24"/>
              </w:rPr>
              <w:t>September</w:t>
            </w:r>
          </w:p>
        </w:tc>
        <w:tc>
          <w:tcPr>
            <w:tcW w:w="3969"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9</w:t>
            </w:r>
          </w:p>
        </w:tc>
        <w:tc>
          <w:tcPr>
            <w:tcW w:w="4111"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18 (+100%)</w:t>
            </w:r>
          </w:p>
        </w:tc>
      </w:tr>
      <w:tr w:rsidR="00337616" w:rsidTr="00337616">
        <w:tc>
          <w:tcPr>
            <w:tcW w:w="1559" w:type="dxa"/>
          </w:tcPr>
          <w:p w:rsidR="00337616" w:rsidRDefault="00337616" w:rsidP="00337616">
            <w:pPr>
              <w:jc w:val="both"/>
              <w:rPr>
                <w:rFonts w:ascii="Arial" w:hAnsi="Arial" w:cs="Arial"/>
                <w:sz w:val="24"/>
                <w:szCs w:val="24"/>
              </w:rPr>
            </w:pPr>
          </w:p>
          <w:p w:rsidR="00337616" w:rsidRPr="00FD504D" w:rsidRDefault="00337616" w:rsidP="00337616">
            <w:pPr>
              <w:jc w:val="both"/>
              <w:rPr>
                <w:rFonts w:ascii="Arial" w:hAnsi="Arial" w:cs="Arial"/>
                <w:sz w:val="24"/>
                <w:szCs w:val="24"/>
              </w:rPr>
            </w:pPr>
            <w:r>
              <w:rPr>
                <w:rFonts w:ascii="Arial" w:hAnsi="Arial" w:cs="Arial"/>
                <w:sz w:val="24"/>
                <w:szCs w:val="24"/>
              </w:rPr>
              <w:t>October</w:t>
            </w:r>
          </w:p>
        </w:tc>
        <w:tc>
          <w:tcPr>
            <w:tcW w:w="3969"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8</w:t>
            </w:r>
          </w:p>
        </w:tc>
        <w:tc>
          <w:tcPr>
            <w:tcW w:w="4111"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21 (+163%)</w:t>
            </w:r>
          </w:p>
        </w:tc>
      </w:tr>
      <w:tr w:rsidR="00337616" w:rsidTr="00337616">
        <w:tc>
          <w:tcPr>
            <w:tcW w:w="1559" w:type="dxa"/>
          </w:tcPr>
          <w:p w:rsidR="00337616" w:rsidRDefault="00337616" w:rsidP="00337616">
            <w:pPr>
              <w:jc w:val="both"/>
              <w:rPr>
                <w:rFonts w:ascii="Arial" w:hAnsi="Arial" w:cs="Arial"/>
                <w:sz w:val="24"/>
                <w:szCs w:val="24"/>
              </w:rPr>
            </w:pPr>
          </w:p>
          <w:p w:rsidR="00337616" w:rsidRPr="00FD504D" w:rsidRDefault="00337616" w:rsidP="00337616">
            <w:pPr>
              <w:jc w:val="both"/>
              <w:rPr>
                <w:rFonts w:ascii="Arial" w:hAnsi="Arial" w:cs="Arial"/>
                <w:sz w:val="24"/>
                <w:szCs w:val="24"/>
              </w:rPr>
            </w:pPr>
            <w:r>
              <w:rPr>
                <w:rFonts w:ascii="Arial" w:hAnsi="Arial" w:cs="Arial"/>
                <w:sz w:val="24"/>
                <w:szCs w:val="24"/>
              </w:rPr>
              <w:t>November</w:t>
            </w:r>
          </w:p>
        </w:tc>
        <w:tc>
          <w:tcPr>
            <w:tcW w:w="3969"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5</w:t>
            </w:r>
          </w:p>
        </w:tc>
        <w:tc>
          <w:tcPr>
            <w:tcW w:w="4111"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31 (+520%)</w:t>
            </w:r>
          </w:p>
        </w:tc>
      </w:tr>
      <w:tr w:rsidR="00337616" w:rsidTr="00337616">
        <w:tc>
          <w:tcPr>
            <w:tcW w:w="1559" w:type="dxa"/>
          </w:tcPr>
          <w:p w:rsidR="00337616" w:rsidRDefault="00337616" w:rsidP="00337616">
            <w:pPr>
              <w:jc w:val="both"/>
              <w:rPr>
                <w:rFonts w:ascii="Arial" w:hAnsi="Arial" w:cs="Arial"/>
                <w:sz w:val="24"/>
                <w:szCs w:val="24"/>
              </w:rPr>
            </w:pPr>
          </w:p>
          <w:p w:rsidR="00337616" w:rsidRPr="00FD504D" w:rsidRDefault="00337616" w:rsidP="00337616">
            <w:pPr>
              <w:jc w:val="both"/>
              <w:rPr>
                <w:rFonts w:ascii="Arial" w:hAnsi="Arial" w:cs="Arial"/>
                <w:sz w:val="24"/>
                <w:szCs w:val="24"/>
              </w:rPr>
            </w:pPr>
            <w:r>
              <w:rPr>
                <w:rFonts w:ascii="Arial" w:hAnsi="Arial" w:cs="Arial"/>
                <w:sz w:val="24"/>
                <w:szCs w:val="24"/>
              </w:rPr>
              <w:t>December</w:t>
            </w:r>
          </w:p>
        </w:tc>
        <w:tc>
          <w:tcPr>
            <w:tcW w:w="3969"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4</w:t>
            </w:r>
          </w:p>
        </w:tc>
        <w:tc>
          <w:tcPr>
            <w:tcW w:w="4111"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19 (+375%)</w:t>
            </w:r>
          </w:p>
        </w:tc>
      </w:tr>
      <w:tr w:rsidR="00337616" w:rsidTr="00337616">
        <w:tc>
          <w:tcPr>
            <w:tcW w:w="1559" w:type="dxa"/>
          </w:tcPr>
          <w:p w:rsidR="00337616" w:rsidRDefault="00337616" w:rsidP="00337616">
            <w:pPr>
              <w:jc w:val="both"/>
              <w:rPr>
                <w:rFonts w:ascii="Arial" w:hAnsi="Arial" w:cs="Arial"/>
                <w:sz w:val="24"/>
                <w:szCs w:val="24"/>
              </w:rPr>
            </w:pPr>
          </w:p>
          <w:p w:rsidR="00337616" w:rsidRPr="00FD504D" w:rsidRDefault="00337616" w:rsidP="00337616">
            <w:pPr>
              <w:jc w:val="both"/>
              <w:rPr>
                <w:rFonts w:ascii="Arial" w:hAnsi="Arial" w:cs="Arial"/>
                <w:sz w:val="24"/>
                <w:szCs w:val="24"/>
              </w:rPr>
            </w:pPr>
            <w:r>
              <w:rPr>
                <w:rFonts w:ascii="Arial" w:hAnsi="Arial" w:cs="Arial"/>
                <w:sz w:val="24"/>
                <w:szCs w:val="24"/>
              </w:rPr>
              <w:t>January</w:t>
            </w:r>
          </w:p>
        </w:tc>
        <w:tc>
          <w:tcPr>
            <w:tcW w:w="3969"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3</w:t>
            </w:r>
          </w:p>
        </w:tc>
        <w:tc>
          <w:tcPr>
            <w:tcW w:w="4111"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24 (+700%)</w:t>
            </w:r>
          </w:p>
        </w:tc>
      </w:tr>
      <w:tr w:rsidR="00337616" w:rsidTr="00337616">
        <w:tc>
          <w:tcPr>
            <w:tcW w:w="1559" w:type="dxa"/>
          </w:tcPr>
          <w:p w:rsidR="00337616" w:rsidRDefault="00337616" w:rsidP="00337616">
            <w:pPr>
              <w:jc w:val="both"/>
              <w:rPr>
                <w:rFonts w:ascii="Arial" w:hAnsi="Arial" w:cs="Arial"/>
                <w:sz w:val="24"/>
                <w:szCs w:val="24"/>
              </w:rPr>
            </w:pPr>
          </w:p>
          <w:p w:rsidR="00337616" w:rsidRPr="00FD504D" w:rsidRDefault="00337616" w:rsidP="00337616">
            <w:pPr>
              <w:jc w:val="both"/>
              <w:rPr>
                <w:rFonts w:ascii="Arial" w:hAnsi="Arial" w:cs="Arial"/>
                <w:sz w:val="24"/>
                <w:szCs w:val="24"/>
              </w:rPr>
            </w:pPr>
            <w:r>
              <w:rPr>
                <w:rFonts w:ascii="Arial" w:hAnsi="Arial" w:cs="Arial"/>
                <w:sz w:val="24"/>
                <w:szCs w:val="24"/>
              </w:rPr>
              <w:t>February</w:t>
            </w:r>
          </w:p>
        </w:tc>
        <w:tc>
          <w:tcPr>
            <w:tcW w:w="3969"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10</w:t>
            </w:r>
          </w:p>
        </w:tc>
        <w:tc>
          <w:tcPr>
            <w:tcW w:w="4111" w:type="dxa"/>
          </w:tcPr>
          <w:p w:rsidR="00337616"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Pr>
                <w:rFonts w:ascii="Arial" w:hAnsi="Arial" w:cs="Arial"/>
                <w:sz w:val="24"/>
                <w:szCs w:val="24"/>
              </w:rPr>
              <w:t>18 (+80%)</w:t>
            </w:r>
          </w:p>
        </w:tc>
      </w:tr>
      <w:tr w:rsidR="00337616" w:rsidTr="00337616">
        <w:tc>
          <w:tcPr>
            <w:tcW w:w="1559" w:type="dxa"/>
          </w:tcPr>
          <w:p w:rsidR="00337616" w:rsidRDefault="00337616" w:rsidP="00337616">
            <w:pPr>
              <w:jc w:val="both"/>
              <w:rPr>
                <w:rFonts w:ascii="Arial" w:hAnsi="Arial" w:cs="Arial"/>
                <w:sz w:val="24"/>
                <w:szCs w:val="24"/>
              </w:rPr>
            </w:pPr>
          </w:p>
          <w:p w:rsidR="00337616" w:rsidRPr="00FD504D" w:rsidRDefault="00337616" w:rsidP="00337616">
            <w:pPr>
              <w:jc w:val="both"/>
              <w:rPr>
                <w:rFonts w:ascii="Arial" w:hAnsi="Arial" w:cs="Arial"/>
                <w:sz w:val="24"/>
                <w:szCs w:val="24"/>
              </w:rPr>
            </w:pPr>
            <w:r>
              <w:rPr>
                <w:rFonts w:ascii="Arial" w:hAnsi="Arial" w:cs="Arial"/>
                <w:sz w:val="24"/>
                <w:szCs w:val="24"/>
              </w:rPr>
              <w:t>March</w:t>
            </w:r>
          </w:p>
        </w:tc>
        <w:tc>
          <w:tcPr>
            <w:tcW w:w="3969" w:type="dxa"/>
          </w:tcPr>
          <w:p w:rsidR="00337616" w:rsidRPr="00FD504D"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sidRPr="00FD504D">
              <w:rPr>
                <w:rFonts w:ascii="Arial" w:hAnsi="Arial" w:cs="Arial"/>
                <w:sz w:val="24"/>
                <w:szCs w:val="24"/>
              </w:rPr>
              <w:t>2</w:t>
            </w:r>
          </w:p>
        </w:tc>
        <w:tc>
          <w:tcPr>
            <w:tcW w:w="4111" w:type="dxa"/>
          </w:tcPr>
          <w:p w:rsidR="00337616" w:rsidRDefault="00337616" w:rsidP="00337616">
            <w:pPr>
              <w:jc w:val="center"/>
              <w:rPr>
                <w:rFonts w:ascii="Arial" w:hAnsi="Arial" w:cs="Arial"/>
                <w:sz w:val="24"/>
                <w:szCs w:val="24"/>
              </w:rPr>
            </w:pPr>
          </w:p>
          <w:p w:rsidR="00337616" w:rsidRPr="00FD504D" w:rsidRDefault="00337616" w:rsidP="00337616">
            <w:pPr>
              <w:jc w:val="center"/>
              <w:rPr>
                <w:rFonts w:ascii="Arial" w:hAnsi="Arial" w:cs="Arial"/>
                <w:sz w:val="24"/>
                <w:szCs w:val="24"/>
              </w:rPr>
            </w:pPr>
            <w:r>
              <w:rPr>
                <w:rFonts w:ascii="Arial" w:hAnsi="Arial" w:cs="Arial"/>
                <w:sz w:val="24"/>
                <w:szCs w:val="24"/>
              </w:rPr>
              <w:t>31 (+1450%)</w:t>
            </w:r>
          </w:p>
        </w:tc>
      </w:tr>
      <w:tr w:rsidR="00337616" w:rsidRPr="00FD504D" w:rsidTr="00337616">
        <w:tc>
          <w:tcPr>
            <w:tcW w:w="1559" w:type="dxa"/>
          </w:tcPr>
          <w:p w:rsidR="00337616" w:rsidRPr="00FD504D" w:rsidRDefault="00337616" w:rsidP="00337616">
            <w:pPr>
              <w:jc w:val="both"/>
              <w:rPr>
                <w:rFonts w:ascii="Arial" w:hAnsi="Arial" w:cs="Arial"/>
                <w:sz w:val="24"/>
                <w:szCs w:val="24"/>
              </w:rPr>
            </w:pPr>
          </w:p>
          <w:p w:rsidR="00337616" w:rsidRPr="00FD504D" w:rsidRDefault="00337616" w:rsidP="00337616">
            <w:pPr>
              <w:jc w:val="both"/>
              <w:rPr>
                <w:rFonts w:ascii="Arial" w:hAnsi="Arial" w:cs="Arial"/>
                <w:sz w:val="24"/>
                <w:szCs w:val="24"/>
              </w:rPr>
            </w:pPr>
            <w:r w:rsidRPr="00FD504D">
              <w:rPr>
                <w:rFonts w:ascii="Arial" w:hAnsi="Arial" w:cs="Arial"/>
                <w:sz w:val="24"/>
                <w:szCs w:val="24"/>
              </w:rPr>
              <w:t>Total</w:t>
            </w:r>
          </w:p>
        </w:tc>
        <w:tc>
          <w:tcPr>
            <w:tcW w:w="3969" w:type="dxa"/>
          </w:tcPr>
          <w:p w:rsidR="00337616" w:rsidRDefault="00337616" w:rsidP="00337616">
            <w:pPr>
              <w:jc w:val="center"/>
              <w:rPr>
                <w:b/>
                <w:bCs/>
                <w:sz w:val="24"/>
                <w:szCs w:val="24"/>
              </w:rPr>
            </w:pPr>
          </w:p>
          <w:p w:rsidR="00337616" w:rsidRPr="00FD504D" w:rsidRDefault="00337616" w:rsidP="00337616">
            <w:pPr>
              <w:jc w:val="center"/>
              <w:rPr>
                <w:sz w:val="24"/>
                <w:szCs w:val="24"/>
              </w:rPr>
            </w:pPr>
            <w:r w:rsidRPr="00FD504D">
              <w:rPr>
                <w:b/>
                <w:bCs/>
                <w:sz w:val="24"/>
                <w:szCs w:val="24"/>
              </w:rPr>
              <w:t>93</w:t>
            </w:r>
          </w:p>
        </w:tc>
        <w:tc>
          <w:tcPr>
            <w:tcW w:w="4111" w:type="dxa"/>
          </w:tcPr>
          <w:p w:rsidR="00337616" w:rsidRDefault="00337616" w:rsidP="00337616">
            <w:pPr>
              <w:jc w:val="center"/>
              <w:rPr>
                <w:rFonts w:ascii="Arial" w:hAnsi="Arial" w:cs="Arial"/>
                <w:sz w:val="24"/>
                <w:szCs w:val="24"/>
              </w:rPr>
            </w:pPr>
          </w:p>
          <w:p w:rsidR="00337616" w:rsidRPr="00F47430" w:rsidRDefault="00337616" w:rsidP="00337616">
            <w:pPr>
              <w:jc w:val="center"/>
              <w:rPr>
                <w:rFonts w:ascii="Arial" w:hAnsi="Arial" w:cs="Arial"/>
                <w:b/>
                <w:sz w:val="24"/>
                <w:szCs w:val="24"/>
              </w:rPr>
            </w:pPr>
            <w:r w:rsidRPr="00F47430">
              <w:rPr>
                <w:rFonts w:ascii="Arial" w:hAnsi="Arial" w:cs="Arial"/>
                <w:b/>
                <w:sz w:val="24"/>
                <w:szCs w:val="24"/>
              </w:rPr>
              <w:t xml:space="preserve">284 </w:t>
            </w:r>
            <w:r w:rsidR="00D42856">
              <w:rPr>
                <w:rFonts w:ascii="Arial" w:hAnsi="Arial" w:cs="Arial"/>
                <w:b/>
                <w:sz w:val="24"/>
                <w:szCs w:val="24"/>
              </w:rPr>
              <w:t>(+205%)</w:t>
            </w:r>
          </w:p>
        </w:tc>
      </w:tr>
    </w:tbl>
    <w:p w:rsidR="00337616" w:rsidRPr="0059268E" w:rsidRDefault="00337616" w:rsidP="00337616">
      <w:pPr>
        <w:jc w:val="both"/>
        <w:rPr>
          <w:rFonts w:ascii="Arial" w:hAnsi="Arial" w:cs="Arial"/>
        </w:rPr>
      </w:pPr>
    </w:p>
    <w:p w:rsidR="00337616" w:rsidRPr="009C2C6E" w:rsidRDefault="00337616" w:rsidP="00337616">
      <w:pPr>
        <w:rPr>
          <w:rFonts w:ascii="Arial" w:hAnsi="Arial" w:cs="Arial"/>
        </w:rPr>
      </w:pPr>
    </w:p>
    <w:p w:rsidR="00337616" w:rsidRPr="002D3021" w:rsidRDefault="00337616" w:rsidP="00337616">
      <w:pPr>
        <w:rPr>
          <w:rFonts w:ascii="Arial" w:hAnsi="Arial" w:cs="Arial"/>
          <w:u w:val="single"/>
        </w:rPr>
      </w:pPr>
    </w:p>
    <w:p w:rsidR="00337616" w:rsidRPr="004E04B0" w:rsidRDefault="00337616" w:rsidP="00337616">
      <w:pPr>
        <w:rPr>
          <w:rFonts w:ascii="Arial" w:hAnsi="Arial" w:cs="Arial"/>
          <w:sz w:val="24"/>
          <w:szCs w:val="24"/>
          <w:u w:val="single"/>
        </w:rPr>
      </w:pPr>
      <w:r w:rsidRPr="004E04B0">
        <w:rPr>
          <w:rFonts w:ascii="Arial" w:hAnsi="Arial" w:cs="Arial"/>
          <w:sz w:val="24"/>
          <w:szCs w:val="24"/>
          <w:u w:val="single"/>
        </w:rPr>
        <w:t>Local Context: Homeless Applications and Causes of Homelessness.</w:t>
      </w:r>
    </w:p>
    <w:p w:rsidR="00337616" w:rsidRPr="004E04B0" w:rsidRDefault="00337616" w:rsidP="00337616">
      <w:pPr>
        <w:pStyle w:val="ListParagraph"/>
        <w:ind w:left="0"/>
        <w:jc w:val="both"/>
        <w:rPr>
          <w:rFonts w:ascii="Arial" w:hAnsi="Arial" w:cs="Arial"/>
          <w:sz w:val="24"/>
          <w:szCs w:val="24"/>
        </w:rPr>
      </w:pPr>
      <w:r w:rsidRPr="004E04B0">
        <w:rPr>
          <w:rFonts w:ascii="Arial" w:hAnsi="Arial" w:cs="Arial"/>
          <w:sz w:val="24"/>
          <w:szCs w:val="24"/>
        </w:rPr>
        <w:t xml:space="preserve">Nationally, homeless applications have been increasing since 2008. Stroud had managed to buck the national trend for a few years, but homeless applications have now been increasing consistently since 2014 and have increased significantly this financial year although it is difficult to say how much the increase is due to the extra recording introduced by the Homeless Reduction Act 2017, and how much homelessness has genuinely increased. </w:t>
      </w:r>
    </w:p>
    <w:p w:rsidR="00337616" w:rsidRPr="004E04B0" w:rsidRDefault="00337616" w:rsidP="00337616">
      <w:pPr>
        <w:pStyle w:val="ListParagraph"/>
        <w:ind w:left="0"/>
        <w:jc w:val="both"/>
        <w:rPr>
          <w:rFonts w:ascii="Arial" w:hAnsi="Arial" w:cs="Arial"/>
          <w:sz w:val="24"/>
          <w:szCs w:val="24"/>
        </w:rPr>
      </w:pPr>
    </w:p>
    <w:p w:rsidR="00337616" w:rsidRDefault="00337616" w:rsidP="00337616">
      <w:pPr>
        <w:pStyle w:val="ListParagraph"/>
        <w:ind w:left="0"/>
        <w:rPr>
          <w:rFonts w:ascii="Arial" w:hAnsi="Arial" w:cs="Arial"/>
          <w:sz w:val="24"/>
          <w:szCs w:val="24"/>
        </w:rPr>
      </w:pPr>
      <w:r w:rsidRPr="004E04B0">
        <w:rPr>
          <w:rFonts w:ascii="Arial" w:hAnsi="Arial" w:cs="Arial"/>
          <w:sz w:val="24"/>
          <w:szCs w:val="24"/>
        </w:rPr>
        <w:t xml:space="preserve">The causes of homelessness within the District have remained fairly constant. Relationship breakdown, which includes couples, parental exclusions and domestic abuse are together the single largest cause, although there are indications that loss of an Assured </w:t>
      </w:r>
      <w:proofErr w:type="spellStart"/>
      <w:r w:rsidRPr="004E04B0">
        <w:rPr>
          <w:rFonts w:ascii="Arial" w:hAnsi="Arial" w:cs="Arial"/>
          <w:sz w:val="24"/>
          <w:szCs w:val="24"/>
        </w:rPr>
        <w:t>Shorthold</w:t>
      </w:r>
      <w:proofErr w:type="spellEnd"/>
      <w:r w:rsidRPr="004E04B0">
        <w:rPr>
          <w:rFonts w:ascii="Arial" w:hAnsi="Arial" w:cs="Arial"/>
          <w:sz w:val="24"/>
          <w:szCs w:val="24"/>
        </w:rPr>
        <w:t xml:space="preserve"> Tenancy is becoming an increasing cause.</w:t>
      </w:r>
    </w:p>
    <w:p w:rsidR="00337616" w:rsidRDefault="00337616" w:rsidP="00337616">
      <w:pPr>
        <w:pStyle w:val="ListParagraph"/>
        <w:ind w:left="0"/>
        <w:rPr>
          <w:rFonts w:ascii="Arial" w:hAnsi="Arial" w:cs="Arial"/>
          <w:sz w:val="24"/>
          <w:szCs w:val="24"/>
        </w:rPr>
      </w:pPr>
    </w:p>
    <w:p w:rsidR="00337616" w:rsidRPr="004E04B0" w:rsidRDefault="00337616" w:rsidP="00337616">
      <w:pPr>
        <w:pStyle w:val="ListParagraph"/>
        <w:ind w:left="0"/>
        <w:rPr>
          <w:rFonts w:ascii="Arial" w:hAnsi="Arial" w:cs="Arial"/>
          <w:sz w:val="24"/>
          <w:szCs w:val="24"/>
        </w:rPr>
      </w:pPr>
      <w:r>
        <w:rPr>
          <w:rFonts w:ascii="Arial" w:hAnsi="Arial" w:cs="Arial"/>
          <w:sz w:val="24"/>
          <w:szCs w:val="24"/>
        </w:rPr>
        <w:t>Changes to local connection criteria for care leavers means that every young person owed leaving care duties by Gloucestershire County Council will have a local connection to all districts in Gloucestershire. The impact of this has yet to be seen, but as much of the county youth provision is based in Stroud it may result in an increase in priority cases that approach the authority.</w:t>
      </w:r>
    </w:p>
    <w:p w:rsidR="00337616" w:rsidRDefault="00337616" w:rsidP="00337616">
      <w:pPr>
        <w:pStyle w:val="ListParagraph"/>
        <w:ind w:left="0"/>
        <w:rPr>
          <w:rFonts w:ascii="Arial" w:hAnsi="Arial" w:cs="Arial"/>
        </w:rPr>
      </w:pPr>
    </w:p>
    <w:p w:rsidR="00337616" w:rsidRDefault="00337616" w:rsidP="00337616">
      <w:pPr>
        <w:pStyle w:val="ListParagraph"/>
        <w:ind w:left="0"/>
        <w:rPr>
          <w:rFonts w:ascii="Arial" w:hAnsi="Arial" w:cs="Arial"/>
        </w:rPr>
      </w:pPr>
    </w:p>
    <w:p w:rsidR="00337616" w:rsidRDefault="00337616" w:rsidP="00337616">
      <w:pPr>
        <w:pStyle w:val="ListParagraph"/>
        <w:ind w:left="0"/>
        <w:rPr>
          <w:rFonts w:ascii="Arial" w:hAnsi="Arial" w:cs="Arial"/>
        </w:rPr>
      </w:pPr>
    </w:p>
    <w:p w:rsidR="00337616" w:rsidRPr="0059268E" w:rsidRDefault="00337616" w:rsidP="00337616">
      <w:pPr>
        <w:pStyle w:val="ListParagraph"/>
        <w:ind w:left="0"/>
        <w:rPr>
          <w:rFonts w:ascii="Arial" w:hAnsi="Arial" w:cs="Aria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2135"/>
        <w:gridCol w:w="2331"/>
        <w:gridCol w:w="2216"/>
        <w:gridCol w:w="2216"/>
      </w:tblGrid>
      <w:tr w:rsidR="00337616" w:rsidRPr="0059268E" w:rsidTr="00337616">
        <w:trPr>
          <w:trHeight w:val="602"/>
          <w:jc w:val="center"/>
        </w:trPr>
        <w:tc>
          <w:tcPr>
            <w:tcW w:w="1800" w:type="dxa"/>
          </w:tcPr>
          <w:p w:rsidR="00337616" w:rsidRPr="0059268E" w:rsidRDefault="00337616" w:rsidP="00337616">
            <w:pPr>
              <w:pStyle w:val="Heading1"/>
              <w:ind w:right="136"/>
              <w:jc w:val="left"/>
              <w:rPr>
                <w:sz w:val="22"/>
                <w:szCs w:val="22"/>
              </w:rPr>
            </w:pPr>
            <w:r w:rsidRPr="0059268E">
              <w:rPr>
                <w:sz w:val="22"/>
                <w:szCs w:val="22"/>
              </w:rPr>
              <w:t>YEAR</w:t>
            </w:r>
          </w:p>
        </w:tc>
        <w:tc>
          <w:tcPr>
            <w:tcW w:w="2135" w:type="dxa"/>
          </w:tcPr>
          <w:p w:rsidR="00337616" w:rsidRPr="0059268E" w:rsidRDefault="00337616" w:rsidP="00337616">
            <w:pPr>
              <w:pStyle w:val="Heading1"/>
              <w:ind w:right="132"/>
              <w:jc w:val="left"/>
              <w:rPr>
                <w:sz w:val="22"/>
                <w:szCs w:val="22"/>
              </w:rPr>
            </w:pPr>
            <w:r w:rsidRPr="0059268E">
              <w:rPr>
                <w:sz w:val="22"/>
                <w:szCs w:val="22"/>
              </w:rPr>
              <w:t>APPLICATIONS</w:t>
            </w:r>
          </w:p>
        </w:tc>
        <w:tc>
          <w:tcPr>
            <w:tcW w:w="2331" w:type="dxa"/>
          </w:tcPr>
          <w:p w:rsidR="00337616" w:rsidRPr="0059268E" w:rsidRDefault="00337616" w:rsidP="00337616">
            <w:pPr>
              <w:pStyle w:val="Heading1"/>
              <w:ind w:right="130"/>
              <w:jc w:val="left"/>
              <w:rPr>
                <w:sz w:val="22"/>
                <w:szCs w:val="22"/>
              </w:rPr>
            </w:pPr>
            <w:r w:rsidRPr="0059268E">
              <w:rPr>
                <w:sz w:val="22"/>
                <w:szCs w:val="22"/>
              </w:rPr>
              <w:t>ACCEPTANCES</w:t>
            </w:r>
          </w:p>
        </w:tc>
        <w:tc>
          <w:tcPr>
            <w:tcW w:w="2216" w:type="dxa"/>
          </w:tcPr>
          <w:p w:rsidR="00337616" w:rsidRPr="0059268E" w:rsidRDefault="00337616" w:rsidP="00337616">
            <w:pPr>
              <w:pStyle w:val="Heading1"/>
              <w:ind w:right="173"/>
              <w:jc w:val="left"/>
              <w:rPr>
                <w:sz w:val="22"/>
                <w:szCs w:val="22"/>
                <w:u w:val="single"/>
              </w:rPr>
            </w:pPr>
            <w:r w:rsidRPr="0059268E">
              <w:rPr>
                <w:sz w:val="22"/>
                <w:szCs w:val="22"/>
                <w:u w:val="single"/>
              </w:rPr>
              <w:t>ACCEPTANCES</w:t>
            </w:r>
          </w:p>
          <w:p w:rsidR="00337616" w:rsidRPr="0059268E" w:rsidRDefault="00337616" w:rsidP="00337616">
            <w:pPr>
              <w:pStyle w:val="Heading2"/>
              <w:ind w:right="173"/>
              <w:rPr>
                <w:sz w:val="22"/>
                <w:szCs w:val="22"/>
              </w:rPr>
            </w:pPr>
            <w:r w:rsidRPr="0059268E">
              <w:rPr>
                <w:sz w:val="22"/>
                <w:szCs w:val="22"/>
              </w:rPr>
              <w:t>APPLICATIONS</w:t>
            </w:r>
          </w:p>
        </w:tc>
        <w:tc>
          <w:tcPr>
            <w:tcW w:w="2216" w:type="dxa"/>
          </w:tcPr>
          <w:p w:rsidR="00337616" w:rsidRPr="0059268E" w:rsidRDefault="00337616" w:rsidP="00337616">
            <w:pPr>
              <w:pStyle w:val="Heading1"/>
              <w:ind w:right="173"/>
              <w:jc w:val="left"/>
              <w:rPr>
                <w:sz w:val="22"/>
                <w:szCs w:val="22"/>
                <w:u w:val="single"/>
              </w:rPr>
            </w:pPr>
            <w:r>
              <w:rPr>
                <w:sz w:val="22"/>
                <w:szCs w:val="22"/>
                <w:u w:val="single"/>
              </w:rPr>
              <w:t>INTENTIONAL</w:t>
            </w:r>
          </w:p>
        </w:tc>
      </w:tr>
      <w:tr w:rsidR="00337616" w:rsidRPr="0059268E" w:rsidTr="00337616">
        <w:trPr>
          <w:jc w:val="center"/>
        </w:trPr>
        <w:tc>
          <w:tcPr>
            <w:tcW w:w="1800" w:type="dxa"/>
          </w:tcPr>
          <w:p w:rsidR="00337616" w:rsidRPr="0059268E" w:rsidRDefault="00337616" w:rsidP="00337616">
            <w:pPr>
              <w:ind w:right="136"/>
              <w:jc w:val="center"/>
              <w:rPr>
                <w:rFonts w:ascii="Arial" w:hAnsi="Arial" w:cs="Arial"/>
              </w:rPr>
            </w:pPr>
            <w:r w:rsidRPr="0059268E">
              <w:rPr>
                <w:rFonts w:ascii="Arial" w:hAnsi="Arial" w:cs="Arial"/>
              </w:rPr>
              <w:t>2009/10</w:t>
            </w:r>
          </w:p>
        </w:tc>
        <w:tc>
          <w:tcPr>
            <w:tcW w:w="2135" w:type="dxa"/>
          </w:tcPr>
          <w:p w:rsidR="00337616" w:rsidRPr="0059268E" w:rsidRDefault="00337616" w:rsidP="00337616">
            <w:pPr>
              <w:ind w:right="132"/>
              <w:jc w:val="center"/>
              <w:rPr>
                <w:rFonts w:ascii="Arial" w:hAnsi="Arial" w:cs="Arial"/>
              </w:rPr>
            </w:pPr>
            <w:r w:rsidRPr="0059268E">
              <w:rPr>
                <w:rFonts w:ascii="Arial" w:hAnsi="Arial" w:cs="Arial"/>
              </w:rPr>
              <w:t>48</w:t>
            </w:r>
          </w:p>
        </w:tc>
        <w:tc>
          <w:tcPr>
            <w:tcW w:w="2331" w:type="dxa"/>
          </w:tcPr>
          <w:p w:rsidR="00337616" w:rsidRPr="0059268E" w:rsidRDefault="00337616" w:rsidP="00337616">
            <w:pPr>
              <w:ind w:right="130"/>
              <w:jc w:val="center"/>
              <w:rPr>
                <w:rFonts w:ascii="Arial" w:hAnsi="Arial" w:cs="Arial"/>
              </w:rPr>
            </w:pPr>
            <w:r w:rsidRPr="0059268E">
              <w:rPr>
                <w:rFonts w:ascii="Arial" w:hAnsi="Arial" w:cs="Arial"/>
              </w:rPr>
              <w:t>13</w:t>
            </w:r>
          </w:p>
        </w:tc>
        <w:tc>
          <w:tcPr>
            <w:tcW w:w="2216" w:type="dxa"/>
          </w:tcPr>
          <w:p w:rsidR="00337616" w:rsidRPr="0059268E" w:rsidRDefault="00337616" w:rsidP="00337616">
            <w:pPr>
              <w:ind w:right="173"/>
              <w:jc w:val="center"/>
              <w:rPr>
                <w:rFonts w:ascii="Arial" w:hAnsi="Arial" w:cs="Arial"/>
              </w:rPr>
            </w:pPr>
            <w:r w:rsidRPr="0059268E">
              <w:rPr>
                <w:rFonts w:ascii="Arial" w:hAnsi="Arial" w:cs="Arial"/>
              </w:rPr>
              <w:t>27%</w:t>
            </w:r>
          </w:p>
        </w:tc>
        <w:tc>
          <w:tcPr>
            <w:tcW w:w="2216" w:type="dxa"/>
          </w:tcPr>
          <w:p w:rsidR="00337616" w:rsidRPr="0059268E" w:rsidRDefault="00337616" w:rsidP="00337616">
            <w:pPr>
              <w:ind w:right="173"/>
              <w:jc w:val="center"/>
              <w:rPr>
                <w:rFonts w:ascii="Arial" w:hAnsi="Arial" w:cs="Arial"/>
              </w:rPr>
            </w:pPr>
            <w:r>
              <w:rPr>
                <w:rFonts w:ascii="Arial" w:hAnsi="Arial" w:cs="Arial"/>
              </w:rPr>
              <w:t>7</w:t>
            </w:r>
          </w:p>
        </w:tc>
      </w:tr>
      <w:tr w:rsidR="00337616" w:rsidRPr="0059268E" w:rsidTr="00337616">
        <w:trPr>
          <w:jc w:val="center"/>
        </w:trPr>
        <w:tc>
          <w:tcPr>
            <w:tcW w:w="1800" w:type="dxa"/>
          </w:tcPr>
          <w:p w:rsidR="00337616" w:rsidRPr="0059268E" w:rsidRDefault="00337616" w:rsidP="00337616">
            <w:pPr>
              <w:ind w:right="136"/>
              <w:jc w:val="center"/>
              <w:rPr>
                <w:rFonts w:ascii="Arial" w:hAnsi="Arial" w:cs="Arial"/>
              </w:rPr>
            </w:pPr>
            <w:r w:rsidRPr="0059268E">
              <w:rPr>
                <w:rFonts w:ascii="Arial" w:hAnsi="Arial" w:cs="Arial"/>
              </w:rPr>
              <w:t>2010/11</w:t>
            </w:r>
          </w:p>
        </w:tc>
        <w:tc>
          <w:tcPr>
            <w:tcW w:w="2135" w:type="dxa"/>
          </w:tcPr>
          <w:p w:rsidR="00337616" w:rsidRPr="0059268E" w:rsidRDefault="00337616" w:rsidP="00337616">
            <w:pPr>
              <w:ind w:right="132"/>
              <w:jc w:val="center"/>
              <w:rPr>
                <w:rFonts w:ascii="Arial" w:hAnsi="Arial" w:cs="Arial"/>
              </w:rPr>
            </w:pPr>
            <w:r w:rsidRPr="0059268E">
              <w:rPr>
                <w:rFonts w:ascii="Arial" w:hAnsi="Arial" w:cs="Arial"/>
              </w:rPr>
              <w:t>55</w:t>
            </w:r>
          </w:p>
        </w:tc>
        <w:tc>
          <w:tcPr>
            <w:tcW w:w="2331" w:type="dxa"/>
          </w:tcPr>
          <w:p w:rsidR="00337616" w:rsidRPr="0059268E" w:rsidRDefault="00337616" w:rsidP="00337616">
            <w:pPr>
              <w:ind w:right="130"/>
              <w:jc w:val="center"/>
              <w:rPr>
                <w:rFonts w:ascii="Arial" w:hAnsi="Arial" w:cs="Arial"/>
              </w:rPr>
            </w:pPr>
            <w:r w:rsidRPr="0059268E">
              <w:rPr>
                <w:rFonts w:ascii="Arial" w:hAnsi="Arial" w:cs="Arial"/>
              </w:rPr>
              <w:t>7</w:t>
            </w:r>
          </w:p>
        </w:tc>
        <w:tc>
          <w:tcPr>
            <w:tcW w:w="2216" w:type="dxa"/>
          </w:tcPr>
          <w:p w:rsidR="00337616" w:rsidRPr="0059268E" w:rsidRDefault="00337616" w:rsidP="00337616">
            <w:pPr>
              <w:ind w:right="173"/>
              <w:jc w:val="center"/>
              <w:rPr>
                <w:rFonts w:ascii="Arial" w:hAnsi="Arial" w:cs="Arial"/>
              </w:rPr>
            </w:pPr>
            <w:r w:rsidRPr="0059268E">
              <w:rPr>
                <w:rFonts w:ascii="Arial" w:hAnsi="Arial" w:cs="Arial"/>
              </w:rPr>
              <w:t>13%</w:t>
            </w:r>
          </w:p>
        </w:tc>
        <w:tc>
          <w:tcPr>
            <w:tcW w:w="2216" w:type="dxa"/>
          </w:tcPr>
          <w:p w:rsidR="00337616" w:rsidRPr="0059268E" w:rsidRDefault="00337616" w:rsidP="00337616">
            <w:pPr>
              <w:ind w:right="173"/>
              <w:jc w:val="center"/>
              <w:rPr>
                <w:rFonts w:ascii="Arial" w:hAnsi="Arial" w:cs="Arial"/>
              </w:rPr>
            </w:pPr>
            <w:r>
              <w:rPr>
                <w:rFonts w:ascii="Arial" w:hAnsi="Arial" w:cs="Arial"/>
              </w:rPr>
              <w:t>6</w:t>
            </w:r>
          </w:p>
        </w:tc>
      </w:tr>
      <w:tr w:rsidR="00337616" w:rsidRPr="0059268E" w:rsidTr="00337616">
        <w:trPr>
          <w:jc w:val="center"/>
        </w:trPr>
        <w:tc>
          <w:tcPr>
            <w:tcW w:w="1800" w:type="dxa"/>
          </w:tcPr>
          <w:p w:rsidR="00337616" w:rsidRPr="0059268E" w:rsidRDefault="00337616" w:rsidP="00337616">
            <w:pPr>
              <w:tabs>
                <w:tab w:val="left" w:pos="615"/>
                <w:tab w:val="right" w:pos="2278"/>
              </w:tabs>
              <w:ind w:right="136"/>
              <w:jc w:val="center"/>
              <w:rPr>
                <w:rFonts w:ascii="Arial" w:hAnsi="Arial" w:cs="Arial"/>
              </w:rPr>
            </w:pPr>
            <w:r w:rsidRPr="0059268E">
              <w:rPr>
                <w:rFonts w:ascii="Arial" w:hAnsi="Arial" w:cs="Arial"/>
              </w:rPr>
              <w:t xml:space="preserve">     2011/12</w:t>
            </w:r>
            <w:r w:rsidRPr="0059268E">
              <w:rPr>
                <w:rFonts w:ascii="Arial" w:hAnsi="Arial" w:cs="Arial"/>
              </w:rPr>
              <w:tab/>
              <w:t>11/12</w:t>
            </w:r>
          </w:p>
        </w:tc>
        <w:tc>
          <w:tcPr>
            <w:tcW w:w="2135" w:type="dxa"/>
          </w:tcPr>
          <w:p w:rsidR="00337616" w:rsidRPr="0059268E" w:rsidRDefault="00337616" w:rsidP="00337616">
            <w:pPr>
              <w:ind w:right="132"/>
              <w:jc w:val="center"/>
              <w:rPr>
                <w:rFonts w:ascii="Arial" w:hAnsi="Arial" w:cs="Arial"/>
              </w:rPr>
            </w:pPr>
            <w:r w:rsidRPr="0059268E">
              <w:rPr>
                <w:rFonts w:ascii="Arial" w:hAnsi="Arial" w:cs="Arial"/>
              </w:rPr>
              <w:t>76</w:t>
            </w:r>
          </w:p>
        </w:tc>
        <w:tc>
          <w:tcPr>
            <w:tcW w:w="2331" w:type="dxa"/>
          </w:tcPr>
          <w:p w:rsidR="00337616" w:rsidRPr="0059268E" w:rsidRDefault="00337616" w:rsidP="00337616">
            <w:pPr>
              <w:ind w:right="130"/>
              <w:jc w:val="center"/>
              <w:rPr>
                <w:rFonts w:ascii="Arial" w:hAnsi="Arial" w:cs="Arial"/>
              </w:rPr>
            </w:pPr>
            <w:r w:rsidRPr="0059268E">
              <w:rPr>
                <w:rFonts w:ascii="Arial" w:hAnsi="Arial" w:cs="Arial"/>
              </w:rPr>
              <w:t>26</w:t>
            </w:r>
          </w:p>
        </w:tc>
        <w:tc>
          <w:tcPr>
            <w:tcW w:w="2216" w:type="dxa"/>
          </w:tcPr>
          <w:p w:rsidR="00337616" w:rsidRPr="0059268E" w:rsidRDefault="00337616" w:rsidP="00337616">
            <w:pPr>
              <w:ind w:right="173"/>
              <w:jc w:val="center"/>
              <w:rPr>
                <w:rFonts w:ascii="Arial" w:hAnsi="Arial" w:cs="Arial"/>
              </w:rPr>
            </w:pPr>
            <w:r w:rsidRPr="0059268E">
              <w:rPr>
                <w:rFonts w:ascii="Arial" w:hAnsi="Arial" w:cs="Arial"/>
              </w:rPr>
              <w:t>34%</w:t>
            </w:r>
          </w:p>
        </w:tc>
        <w:tc>
          <w:tcPr>
            <w:tcW w:w="2216" w:type="dxa"/>
          </w:tcPr>
          <w:p w:rsidR="00337616" w:rsidRPr="0059268E" w:rsidRDefault="00337616" w:rsidP="00337616">
            <w:pPr>
              <w:ind w:right="173"/>
              <w:jc w:val="center"/>
              <w:rPr>
                <w:rFonts w:ascii="Arial" w:hAnsi="Arial" w:cs="Arial"/>
              </w:rPr>
            </w:pPr>
            <w:r>
              <w:rPr>
                <w:rFonts w:ascii="Arial" w:hAnsi="Arial" w:cs="Arial"/>
              </w:rPr>
              <w:t>1</w:t>
            </w:r>
          </w:p>
        </w:tc>
      </w:tr>
      <w:tr w:rsidR="00337616" w:rsidRPr="0059268E" w:rsidTr="00337616">
        <w:trPr>
          <w:jc w:val="center"/>
        </w:trPr>
        <w:tc>
          <w:tcPr>
            <w:tcW w:w="1800" w:type="dxa"/>
          </w:tcPr>
          <w:p w:rsidR="00337616" w:rsidRPr="0059268E" w:rsidRDefault="00337616" w:rsidP="00337616">
            <w:pPr>
              <w:tabs>
                <w:tab w:val="left" w:pos="615"/>
                <w:tab w:val="right" w:pos="2278"/>
              </w:tabs>
              <w:ind w:right="136"/>
              <w:jc w:val="center"/>
              <w:rPr>
                <w:rFonts w:ascii="Arial" w:hAnsi="Arial" w:cs="Arial"/>
              </w:rPr>
            </w:pPr>
            <w:r w:rsidRPr="0059268E">
              <w:rPr>
                <w:rFonts w:ascii="Arial" w:hAnsi="Arial" w:cs="Arial"/>
              </w:rPr>
              <w:t>2012/13</w:t>
            </w:r>
          </w:p>
        </w:tc>
        <w:tc>
          <w:tcPr>
            <w:tcW w:w="2135" w:type="dxa"/>
          </w:tcPr>
          <w:p w:rsidR="00337616" w:rsidRPr="0059268E" w:rsidRDefault="00337616" w:rsidP="00337616">
            <w:pPr>
              <w:ind w:right="132"/>
              <w:jc w:val="center"/>
              <w:rPr>
                <w:rFonts w:ascii="Arial" w:hAnsi="Arial" w:cs="Arial"/>
              </w:rPr>
            </w:pPr>
            <w:r w:rsidRPr="0059268E">
              <w:rPr>
                <w:rFonts w:ascii="Arial" w:hAnsi="Arial" w:cs="Arial"/>
              </w:rPr>
              <w:t>57</w:t>
            </w:r>
          </w:p>
        </w:tc>
        <w:tc>
          <w:tcPr>
            <w:tcW w:w="2331" w:type="dxa"/>
          </w:tcPr>
          <w:p w:rsidR="00337616" w:rsidRPr="0059268E" w:rsidRDefault="00337616" w:rsidP="00337616">
            <w:pPr>
              <w:ind w:right="130"/>
              <w:jc w:val="center"/>
              <w:rPr>
                <w:rFonts w:ascii="Arial" w:hAnsi="Arial" w:cs="Arial"/>
              </w:rPr>
            </w:pPr>
            <w:r w:rsidRPr="0059268E">
              <w:rPr>
                <w:rFonts w:ascii="Arial" w:hAnsi="Arial" w:cs="Arial"/>
              </w:rPr>
              <w:t>19</w:t>
            </w:r>
          </w:p>
        </w:tc>
        <w:tc>
          <w:tcPr>
            <w:tcW w:w="2216" w:type="dxa"/>
          </w:tcPr>
          <w:p w:rsidR="00337616" w:rsidRPr="0059268E" w:rsidRDefault="00337616" w:rsidP="00337616">
            <w:pPr>
              <w:ind w:right="173"/>
              <w:jc w:val="center"/>
              <w:rPr>
                <w:rFonts w:ascii="Arial" w:hAnsi="Arial" w:cs="Arial"/>
              </w:rPr>
            </w:pPr>
            <w:r w:rsidRPr="0059268E">
              <w:rPr>
                <w:rFonts w:ascii="Arial" w:hAnsi="Arial" w:cs="Arial"/>
              </w:rPr>
              <w:t>33%</w:t>
            </w:r>
          </w:p>
        </w:tc>
        <w:tc>
          <w:tcPr>
            <w:tcW w:w="2216" w:type="dxa"/>
          </w:tcPr>
          <w:p w:rsidR="00337616" w:rsidRPr="0059268E" w:rsidRDefault="00337616" w:rsidP="00337616">
            <w:pPr>
              <w:ind w:right="173"/>
              <w:jc w:val="center"/>
              <w:rPr>
                <w:rFonts w:ascii="Arial" w:hAnsi="Arial" w:cs="Arial"/>
              </w:rPr>
            </w:pPr>
            <w:r>
              <w:rPr>
                <w:rFonts w:ascii="Arial" w:hAnsi="Arial" w:cs="Arial"/>
              </w:rPr>
              <w:t>6</w:t>
            </w:r>
          </w:p>
        </w:tc>
      </w:tr>
      <w:tr w:rsidR="00337616" w:rsidRPr="0059268E" w:rsidTr="00337616">
        <w:trPr>
          <w:jc w:val="center"/>
        </w:trPr>
        <w:tc>
          <w:tcPr>
            <w:tcW w:w="1800" w:type="dxa"/>
          </w:tcPr>
          <w:p w:rsidR="00337616" w:rsidRPr="0059268E" w:rsidRDefault="00337616" w:rsidP="00337616">
            <w:pPr>
              <w:tabs>
                <w:tab w:val="left" w:pos="615"/>
                <w:tab w:val="right" w:pos="2278"/>
              </w:tabs>
              <w:ind w:right="136"/>
              <w:jc w:val="center"/>
              <w:rPr>
                <w:rFonts w:ascii="Arial" w:hAnsi="Arial" w:cs="Arial"/>
              </w:rPr>
            </w:pPr>
            <w:r w:rsidRPr="0059268E">
              <w:rPr>
                <w:rFonts w:ascii="Arial" w:hAnsi="Arial" w:cs="Arial"/>
              </w:rPr>
              <w:t xml:space="preserve">2013/14 </w:t>
            </w:r>
          </w:p>
        </w:tc>
        <w:tc>
          <w:tcPr>
            <w:tcW w:w="2135" w:type="dxa"/>
          </w:tcPr>
          <w:p w:rsidR="00337616" w:rsidRPr="0059268E" w:rsidRDefault="00337616" w:rsidP="00337616">
            <w:pPr>
              <w:ind w:right="132"/>
              <w:jc w:val="center"/>
              <w:rPr>
                <w:rFonts w:ascii="Arial" w:hAnsi="Arial" w:cs="Arial"/>
              </w:rPr>
            </w:pPr>
            <w:r>
              <w:rPr>
                <w:rFonts w:ascii="Arial" w:hAnsi="Arial" w:cs="Arial"/>
              </w:rPr>
              <w:t>74</w:t>
            </w:r>
          </w:p>
        </w:tc>
        <w:tc>
          <w:tcPr>
            <w:tcW w:w="2331" w:type="dxa"/>
          </w:tcPr>
          <w:p w:rsidR="00337616" w:rsidRPr="0059268E" w:rsidRDefault="00337616" w:rsidP="00337616">
            <w:pPr>
              <w:ind w:right="130"/>
              <w:jc w:val="center"/>
              <w:rPr>
                <w:rFonts w:ascii="Arial" w:hAnsi="Arial" w:cs="Arial"/>
              </w:rPr>
            </w:pPr>
            <w:r w:rsidRPr="0059268E">
              <w:rPr>
                <w:rFonts w:ascii="Arial" w:hAnsi="Arial" w:cs="Arial"/>
              </w:rPr>
              <w:t>1</w:t>
            </w:r>
            <w:r>
              <w:rPr>
                <w:rFonts w:ascii="Arial" w:hAnsi="Arial" w:cs="Arial"/>
              </w:rPr>
              <w:t>7</w:t>
            </w:r>
          </w:p>
        </w:tc>
        <w:tc>
          <w:tcPr>
            <w:tcW w:w="2216" w:type="dxa"/>
          </w:tcPr>
          <w:p w:rsidR="00337616" w:rsidRPr="0059268E" w:rsidRDefault="00337616" w:rsidP="00337616">
            <w:pPr>
              <w:ind w:right="173"/>
              <w:jc w:val="center"/>
              <w:rPr>
                <w:rFonts w:ascii="Arial" w:hAnsi="Arial" w:cs="Arial"/>
              </w:rPr>
            </w:pPr>
            <w:r>
              <w:rPr>
                <w:rFonts w:ascii="Arial" w:hAnsi="Arial" w:cs="Arial"/>
              </w:rPr>
              <w:t>23</w:t>
            </w:r>
            <w:r w:rsidRPr="0059268E">
              <w:rPr>
                <w:rFonts w:ascii="Arial" w:hAnsi="Arial" w:cs="Arial"/>
              </w:rPr>
              <w:t>%</w:t>
            </w:r>
          </w:p>
        </w:tc>
        <w:tc>
          <w:tcPr>
            <w:tcW w:w="2216" w:type="dxa"/>
          </w:tcPr>
          <w:p w:rsidR="00337616" w:rsidRPr="0059268E" w:rsidRDefault="00337616" w:rsidP="00337616">
            <w:pPr>
              <w:ind w:right="173"/>
              <w:jc w:val="center"/>
              <w:rPr>
                <w:rFonts w:ascii="Arial" w:hAnsi="Arial" w:cs="Arial"/>
              </w:rPr>
            </w:pPr>
            <w:r>
              <w:rPr>
                <w:rFonts w:ascii="Arial" w:hAnsi="Arial" w:cs="Arial"/>
              </w:rPr>
              <w:t>9</w:t>
            </w:r>
          </w:p>
        </w:tc>
      </w:tr>
      <w:tr w:rsidR="00337616" w:rsidRPr="0059268E" w:rsidTr="00337616">
        <w:trPr>
          <w:jc w:val="center"/>
        </w:trPr>
        <w:tc>
          <w:tcPr>
            <w:tcW w:w="1800" w:type="dxa"/>
          </w:tcPr>
          <w:p w:rsidR="00337616" w:rsidRPr="007223DB" w:rsidRDefault="00337616" w:rsidP="00337616">
            <w:pPr>
              <w:tabs>
                <w:tab w:val="left" w:pos="615"/>
              </w:tabs>
              <w:ind w:right="136"/>
              <w:jc w:val="center"/>
              <w:rPr>
                <w:rFonts w:ascii="Arial" w:hAnsi="Arial" w:cs="Arial"/>
              </w:rPr>
            </w:pPr>
            <w:r w:rsidRPr="007223DB">
              <w:rPr>
                <w:rFonts w:ascii="Arial" w:hAnsi="Arial" w:cs="Arial"/>
              </w:rPr>
              <w:t>2014/15</w:t>
            </w:r>
          </w:p>
        </w:tc>
        <w:tc>
          <w:tcPr>
            <w:tcW w:w="2135" w:type="dxa"/>
          </w:tcPr>
          <w:p w:rsidR="00337616" w:rsidRPr="007223DB" w:rsidRDefault="00337616" w:rsidP="00337616">
            <w:pPr>
              <w:ind w:right="132"/>
              <w:jc w:val="center"/>
              <w:rPr>
                <w:rFonts w:ascii="Arial" w:hAnsi="Arial" w:cs="Arial"/>
              </w:rPr>
            </w:pPr>
            <w:r w:rsidRPr="007223DB">
              <w:rPr>
                <w:rFonts w:ascii="Arial" w:hAnsi="Arial" w:cs="Arial"/>
              </w:rPr>
              <w:t>58</w:t>
            </w:r>
          </w:p>
        </w:tc>
        <w:tc>
          <w:tcPr>
            <w:tcW w:w="2331" w:type="dxa"/>
          </w:tcPr>
          <w:p w:rsidR="00337616" w:rsidRPr="007223DB" w:rsidRDefault="00337616" w:rsidP="00337616">
            <w:pPr>
              <w:ind w:right="130"/>
              <w:jc w:val="center"/>
              <w:rPr>
                <w:rFonts w:ascii="Arial" w:hAnsi="Arial" w:cs="Arial"/>
              </w:rPr>
            </w:pPr>
            <w:r w:rsidRPr="007223DB">
              <w:rPr>
                <w:rFonts w:ascii="Arial" w:hAnsi="Arial" w:cs="Arial"/>
              </w:rPr>
              <w:t>1</w:t>
            </w:r>
            <w:r>
              <w:rPr>
                <w:rFonts w:ascii="Arial" w:hAnsi="Arial" w:cs="Arial"/>
              </w:rPr>
              <w:t>2</w:t>
            </w:r>
          </w:p>
        </w:tc>
        <w:tc>
          <w:tcPr>
            <w:tcW w:w="2216" w:type="dxa"/>
          </w:tcPr>
          <w:p w:rsidR="00337616" w:rsidRPr="007223DB" w:rsidRDefault="00337616" w:rsidP="00337616">
            <w:pPr>
              <w:ind w:right="173"/>
              <w:jc w:val="center"/>
              <w:rPr>
                <w:rFonts w:ascii="Arial" w:hAnsi="Arial" w:cs="Arial"/>
              </w:rPr>
            </w:pPr>
            <w:r>
              <w:rPr>
                <w:rFonts w:ascii="Arial" w:hAnsi="Arial" w:cs="Arial"/>
              </w:rPr>
              <w:t>21</w:t>
            </w:r>
            <w:r w:rsidRPr="007223DB">
              <w:rPr>
                <w:rFonts w:ascii="Arial" w:hAnsi="Arial" w:cs="Arial"/>
              </w:rPr>
              <w:t>%</w:t>
            </w:r>
          </w:p>
        </w:tc>
        <w:tc>
          <w:tcPr>
            <w:tcW w:w="2216" w:type="dxa"/>
          </w:tcPr>
          <w:p w:rsidR="00337616" w:rsidRPr="007223DB" w:rsidRDefault="00337616" w:rsidP="00337616">
            <w:pPr>
              <w:ind w:right="173"/>
              <w:jc w:val="center"/>
              <w:rPr>
                <w:rFonts w:ascii="Arial" w:hAnsi="Arial" w:cs="Arial"/>
              </w:rPr>
            </w:pPr>
            <w:r w:rsidRPr="007223DB">
              <w:rPr>
                <w:rFonts w:ascii="Arial" w:hAnsi="Arial" w:cs="Arial"/>
              </w:rPr>
              <w:t>5</w:t>
            </w:r>
          </w:p>
        </w:tc>
      </w:tr>
      <w:tr w:rsidR="00337616" w:rsidRPr="0059268E" w:rsidTr="00337616">
        <w:trPr>
          <w:jc w:val="center"/>
        </w:trPr>
        <w:tc>
          <w:tcPr>
            <w:tcW w:w="1800" w:type="dxa"/>
          </w:tcPr>
          <w:p w:rsidR="00337616" w:rsidRPr="007223DB" w:rsidRDefault="00337616" w:rsidP="00337616">
            <w:pPr>
              <w:tabs>
                <w:tab w:val="left" w:pos="615"/>
              </w:tabs>
              <w:ind w:right="136"/>
              <w:jc w:val="center"/>
              <w:rPr>
                <w:rFonts w:ascii="Arial" w:hAnsi="Arial" w:cs="Arial"/>
              </w:rPr>
            </w:pPr>
            <w:r>
              <w:rPr>
                <w:rFonts w:ascii="Arial" w:hAnsi="Arial" w:cs="Arial"/>
              </w:rPr>
              <w:t>2015/16</w:t>
            </w:r>
          </w:p>
        </w:tc>
        <w:tc>
          <w:tcPr>
            <w:tcW w:w="2135" w:type="dxa"/>
          </w:tcPr>
          <w:p w:rsidR="00337616" w:rsidRPr="007223DB" w:rsidRDefault="00337616" w:rsidP="00337616">
            <w:pPr>
              <w:ind w:right="132"/>
              <w:jc w:val="center"/>
              <w:rPr>
                <w:rFonts w:ascii="Arial" w:hAnsi="Arial" w:cs="Arial"/>
              </w:rPr>
            </w:pPr>
            <w:r>
              <w:rPr>
                <w:rFonts w:ascii="Arial" w:hAnsi="Arial" w:cs="Arial"/>
              </w:rPr>
              <w:t>67</w:t>
            </w:r>
          </w:p>
        </w:tc>
        <w:tc>
          <w:tcPr>
            <w:tcW w:w="2331" w:type="dxa"/>
          </w:tcPr>
          <w:p w:rsidR="00337616" w:rsidRPr="007223DB" w:rsidRDefault="00337616" w:rsidP="00337616">
            <w:pPr>
              <w:ind w:right="130"/>
              <w:jc w:val="center"/>
              <w:rPr>
                <w:rFonts w:ascii="Arial" w:hAnsi="Arial" w:cs="Arial"/>
              </w:rPr>
            </w:pPr>
            <w:r>
              <w:rPr>
                <w:rFonts w:ascii="Arial" w:hAnsi="Arial" w:cs="Arial"/>
              </w:rPr>
              <w:t>20</w:t>
            </w:r>
          </w:p>
        </w:tc>
        <w:tc>
          <w:tcPr>
            <w:tcW w:w="2216" w:type="dxa"/>
          </w:tcPr>
          <w:p w:rsidR="00337616" w:rsidRPr="007223DB" w:rsidRDefault="00337616" w:rsidP="00337616">
            <w:pPr>
              <w:ind w:right="173"/>
              <w:jc w:val="center"/>
              <w:rPr>
                <w:rFonts w:ascii="Arial" w:hAnsi="Arial" w:cs="Arial"/>
              </w:rPr>
            </w:pPr>
            <w:r>
              <w:rPr>
                <w:rFonts w:ascii="Arial" w:hAnsi="Arial" w:cs="Arial"/>
              </w:rPr>
              <w:t>30%</w:t>
            </w:r>
          </w:p>
        </w:tc>
        <w:tc>
          <w:tcPr>
            <w:tcW w:w="2216" w:type="dxa"/>
          </w:tcPr>
          <w:p w:rsidR="00337616" w:rsidRPr="007223DB" w:rsidRDefault="00337616" w:rsidP="00337616">
            <w:pPr>
              <w:ind w:right="173"/>
              <w:jc w:val="center"/>
              <w:rPr>
                <w:rFonts w:ascii="Arial" w:hAnsi="Arial" w:cs="Arial"/>
              </w:rPr>
            </w:pPr>
            <w:r>
              <w:rPr>
                <w:rFonts w:ascii="Arial" w:hAnsi="Arial" w:cs="Arial"/>
              </w:rPr>
              <w:t>10</w:t>
            </w:r>
          </w:p>
        </w:tc>
      </w:tr>
      <w:tr w:rsidR="00337616" w:rsidRPr="0059268E" w:rsidTr="00337616">
        <w:trPr>
          <w:jc w:val="center"/>
        </w:trPr>
        <w:tc>
          <w:tcPr>
            <w:tcW w:w="1800" w:type="dxa"/>
          </w:tcPr>
          <w:p w:rsidR="00337616" w:rsidRDefault="00337616" w:rsidP="00337616">
            <w:pPr>
              <w:tabs>
                <w:tab w:val="left" w:pos="615"/>
              </w:tabs>
              <w:ind w:right="136"/>
              <w:jc w:val="center"/>
              <w:rPr>
                <w:rFonts w:ascii="Arial" w:hAnsi="Arial" w:cs="Arial"/>
              </w:rPr>
            </w:pPr>
            <w:r>
              <w:rPr>
                <w:rFonts w:ascii="Arial" w:hAnsi="Arial" w:cs="Arial"/>
              </w:rPr>
              <w:t>2016/17</w:t>
            </w:r>
          </w:p>
        </w:tc>
        <w:tc>
          <w:tcPr>
            <w:tcW w:w="2135" w:type="dxa"/>
          </w:tcPr>
          <w:p w:rsidR="00337616" w:rsidRDefault="00337616" w:rsidP="00337616">
            <w:pPr>
              <w:ind w:right="132"/>
              <w:jc w:val="center"/>
              <w:rPr>
                <w:rFonts w:ascii="Arial" w:hAnsi="Arial" w:cs="Arial"/>
              </w:rPr>
            </w:pPr>
            <w:r>
              <w:rPr>
                <w:rFonts w:ascii="Arial" w:hAnsi="Arial" w:cs="Arial"/>
              </w:rPr>
              <w:t>105</w:t>
            </w:r>
          </w:p>
        </w:tc>
        <w:tc>
          <w:tcPr>
            <w:tcW w:w="2331" w:type="dxa"/>
          </w:tcPr>
          <w:p w:rsidR="00337616" w:rsidRDefault="00337616" w:rsidP="00337616">
            <w:pPr>
              <w:ind w:right="130"/>
              <w:jc w:val="center"/>
              <w:rPr>
                <w:rFonts w:ascii="Arial" w:hAnsi="Arial" w:cs="Arial"/>
              </w:rPr>
            </w:pPr>
            <w:r>
              <w:rPr>
                <w:rFonts w:ascii="Arial" w:hAnsi="Arial" w:cs="Arial"/>
              </w:rPr>
              <w:t>40</w:t>
            </w:r>
          </w:p>
        </w:tc>
        <w:tc>
          <w:tcPr>
            <w:tcW w:w="2216" w:type="dxa"/>
          </w:tcPr>
          <w:p w:rsidR="00337616" w:rsidRDefault="00337616" w:rsidP="00337616">
            <w:pPr>
              <w:ind w:right="173"/>
              <w:jc w:val="center"/>
              <w:rPr>
                <w:rFonts w:ascii="Arial" w:hAnsi="Arial" w:cs="Arial"/>
              </w:rPr>
            </w:pPr>
            <w:r>
              <w:rPr>
                <w:rFonts w:ascii="Arial" w:hAnsi="Arial" w:cs="Arial"/>
              </w:rPr>
              <w:t>38%</w:t>
            </w:r>
          </w:p>
        </w:tc>
        <w:tc>
          <w:tcPr>
            <w:tcW w:w="2216" w:type="dxa"/>
          </w:tcPr>
          <w:p w:rsidR="00337616" w:rsidRDefault="00337616" w:rsidP="00337616">
            <w:pPr>
              <w:ind w:right="173"/>
              <w:jc w:val="center"/>
              <w:rPr>
                <w:rFonts w:ascii="Arial" w:hAnsi="Arial" w:cs="Arial"/>
              </w:rPr>
            </w:pPr>
            <w:r>
              <w:rPr>
                <w:rFonts w:ascii="Arial" w:hAnsi="Arial" w:cs="Arial"/>
              </w:rPr>
              <w:t>14</w:t>
            </w:r>
          </w:p>
        </w:tc>
      </w:tr>
      <w:tr w:rsidR="00337616" w:rsidRPr="0059268E" w:rsidTr="00337616">
        <w:trPr>
          <w:jc w:val="center"/>
        </w:trPr>
        <w:tc>
          <w:tcPr>
            <w:tcW w:w="1800" w:type="dxa"/>
          </w:tcPr>
          <w:p w:rsidR="00337616" w:rsidRDefault="00337616" w:rsidP="00337616">
            <w:pPr>
              <w:tabs>
                <w:tab w:val="left" w:pos="615"/>
              </w:tabs>
              <w:ind w:right="136"/>
              <w:jc w:val="center"/>
              <w:rPr>
                <w:rFonts w:ascii="Arial" w:hAnsi="Arial" w:cs="Arial"/>
              </w:rPr>
            </w:pPr>
            <w:r>
              <w:rPr>
                <w:rFonts w:ascii="Arial" w:hAnsi="Arial" w:cs="Arial"/>
              </w:rPr>
              <w:t>2017/18</w:t>
            </w:r>
          </w:p>
        </w:tc>
        <w:tc>
          <w:tcPr>
            <w:tcW w:w="2135" w:type="dxa"/>
          </w:tcPr>
          <w:p w:rsidR="00337616" w:rsidRDefault="00337616" w:rsidP="00337616">
            <w:pPr>
              <w:ind w:right="132"/>
              <w:jc w:val="center"/>
              <w:rPr>
                <w:rFonts w:ascii="Arial" w:hAnsi="Arial" w:cs="Arial"/>
              </w:rPr>
            </w:pPr>
            <w:r>
              <w:rPr>
                <w:rFonts w:ascii="Arial" w:hAnsi="Arial" w:cs="Arial"/>
              </w:rPr>
              <w:t>93</w:t>
            </w:r>
          </w:p>
        </w:tc>
        <w:tc>
          <w:tcPr>
            <w:tcW w:w="2331" w:type="dxa"/>
          </w:tcPr>
          <w:p w:rsidR="00337616" w:rsidRDefault="00337616" w:rsidP="00337616">
            <w:pPr>
              <w:ind w:right="130"/>
              <w:jc w:val="center"/>
              <w:rPr>
                <w:rFonts w:ascii="Arial" w:hAnsi="Arial" w:cs="Arial"/>
              </w:rPr>
            </w:pPr>
            <w:r>
              <w:rPr>
                <w:rFonts w:ascii="Arial" w:hAnsi="Arial" w:cs="Arial"/>
              </w:rPr>
              <w:t>39</w:t>
            </w:r>
          </w:p>
        </w:tc>
        <w:tc>
          <w:tcPr>
            <w:tcW w:w="2216" w:type="dxa"/>
          </w:tcPr>
          <w:p w:rsidR="00337616" w:rsidRDefault="00337616" w:rsidP="00337616">
            <w:pPr>
              <w:ind w:right="173"/>
              <w:jc w:val="center"/>
              <w:rPr>
                <w:rFonts w:ascii="Arial" w:hAnsi="Arial" w:cs="Arial"/>
              </w:rPr>
            </w:pPr>
            <w:r>
              <w:rPr>
                <w:rFonts w:ascii="Arial" w:hAnsi="Arial" w:cs="Arial"/>
              </w:rPr>
              <w:t>42%</w:t>
            </w:r>
          </w:p>
        </w:tc>
        <w:tc>
          <w:tcPr>
            <w:tcW w:w="2216" w:type="dxa"/>
          </w:tcPr>
          <w:p w:rsidR="00337616" w:rsidRDefault="00337616" w:rsidP="00337616">
            <w:pPr>
              <w:ind w:right="173"/>
              <w:jc w:val="center"/>
              <w:rPr>
                <w:rFonts w:ascii="Arial" w:hAnsi="Arial" w:cs="Arial"/>
              </w:rPr>
            </w:pPr>
            <w:r>
              <w:rPr>
                <w:rFonts w:ascii="Arial" w:hAnsi="Arial" w:cs="Arial"/>
              </w:rPr>
              <w:t>10</w:t>
            </w:r>
          </w:p>
        </w:tc>
      </w:tr>
      <w:tr w:rsidR="00337616" w:rsidRPr="0059268E" w:rsidTr="00337616">
        <w:trPr>
          <w:jc w:val="center"/>
        </w:trPr>
        <w:tc>
          <w:tcPr>
            <w:tcW w:w="1800" w:type="dxa"/>
          </w:tcPr>
          <w:p w:rsidR="00337616" w:rsidRDefault="00337616" w:rsidP="00337616">
            <w:pPr>
              <w:tabs>
                <w:tab w:val="left" w:pos="615"/>
              </w:tabs>
              <w:ind w:right="136"/>
              <w:jc w:val="center"/>
              <w:rPr>
                <w:rFonts w:ascii="Arial" w:hAnsi="Arial" w:cs="Arial"/>
              </w:rPr>
            </w:pPr>
            <w:r>
              <w:rPr>
                <w:rFonts w:ascii="Arial" w:hAnsi="Arial" w:cs="Arial"/>
              </w:rPr>
              <w:t>2018/19</w:t>
            </w:r>
          </w:p>
        </w:tc>
        <w:tc>
          <w:tcPr>
            <w:tcW w:w="2135" w:type="dxa"/>
          </w:tcPr>
          <w:p w:rsidR="00337616" w:rsidRDefault="00337616" w:rsidP="00337616">
            <w:pPr>
              <w:ind w:right="132"/>
              <w:jc w:val="center"/>
              <w:rPr>
                <w:rFonts w:ascii="Arial" w:hAnsi="Arial" w:cs="Arial"/>
              </w:rPr>
            </w:pPr>
            <w:r>
              <w:rPr>
                <w:rFonts w:ascii="Arial" w:hAnsi="Arial" w:cs="Arial"/>
              </w:rPr>
              <w:t>284</w:t>
            </w:r>
          </w:p>
        </w:tc>
        <w:tc>
          <w:tcPr>
            <w:tcW w:w="2331" w:type="dxa"/>
          </w:tcPr>
          <w:p w:rsidR="00337616" w:rsidRDefault="00337616" w:rsidP="00337616">
            <w:pPr>
              <w:ind w:right="130"/>
              <w:jc w:val="center"/>
              <w:rPr>
                <w:rFonts w:ascii="Arial" w:hAnsi="Arial" w:cs="Arial"/>
              </w:rPr>
            </w:pPr>
            <w:r>
              <w:rPr>
                <w:rFonts w:ascii="Arial" w:hAnsi="Arial" w:cs="Arial"/>
              </w:rPr>
              <w:t>9</w:t>
            </w:r>
          </w:p>
        </w:tc>
        <w:tc>
          <w:tcPr>
            <w:tcW w:w="2216" w:type="dxa"/>
          </w:tcPr>
          <w:p w:rsidR="00337616" w:rsidRDefault="00337616" w:rsidP="00337616">
            <w:pPr>
              <w:ind w:right="173"/>
              <w:jc w:val="center"/>
              <w:rPr>
                <w:rFonts w:ascii="Arial" w:hAnsi="Arial" w:cs="Arial"/>
              </w:rPr>
            </w:pPr>
            <w:r>
              <w:rPr>
                <w:rFonts w:ascii="Arial" w:hAnsi="Arial" w:cs="Arial"/>
              </w:rPr>
              <w:t>3%</w:t>
            </w:r>
          </w:p>
        </w:tc>
        <w:tc>
          <w:tcPr>
            <w:tcW w:w="2216" w:type="dxa"/>
          </w:tcPr>
          <w:p w:rsidR="00337616" w:rsidRDefault="00337616" w:rsidP="00337616">
            <w:pPr>
              <w:ind w:right="173"/>
              <w:jc w:val="center"/>
              <w:rPr>
                <w:rFonts w:ascii="Arial" w:hAnsi="Arial" w:cs="Arial"/>
              </w:rPr>
            </w:pPr>
            <w:r>
              <w:rPr>
                <w:rFonts w:ascii="Arial" w:hAnsi="Arial" w:cs="Arial"/>
              </w:rPr>
              <w:t>5</w:t>
            </w:r>
          </w:p>
        </w:tc>
      </w:tr>
    </w:tbl>
    <w:p w:rsidR="00337616" w:rsidRDefault="00337616" w:rsidP="00337616">
      <w:pPr>
        <w:rPr>
          <w:rFonts w:ascii="Arial" w:hAnsi="Arial" w:cs="Arial"/>
          <w:sz w:val="24"/>
          <w:szCs w:val="24"/>
        </w:rPr>
      </w:pPr>
    </w:p>
    <w:p w:rsidR="00337616" w:rsidRDefault="00337616" w:rsidP="00337616">
      <w:pPr>
        <w:rPr>
          <w:rFonts w:ascii="Arial" w:hAnsi="Arial" w:cs="Arial"/>
          <w:sz w:val="24"/>
          <w:szCs w:val="24"/>
        </w:rPr>
      </w:pPr>
    </w:p>
    <w:p w:rsidR="00337616" w:rsidRDefault="00337616" w:rsidP="00337616">
      <w:pPr>
        <w:rPr>
          <w:rFonts w:ascii="Arial" w:hAnsi="Arial" w:cs="Arial"/>
          <w:sz w:val="24"/>
          <w:szCs w:val="24"/>
        </w:rPr>
      </w:pPr>
    </w:p>
    <w:p w:rsidR="00337616" w:rsidRDefault="00337616" w:rsidP="00337616">
      <w:pPr>
        <w:rPr>
          <w:rFonts w:ascii="Arial" w:hAnsi="Arial" w:cs="Arial"/>
          <w:sz w:val="24"/>
          <w:szCs w:val="24"/>
        </w:rPr>
      </w:pPr>
    </w:p>
    <w:p w:rsidR="00337616" w:rsidRPr="004E04B0" w:rsidRDefault="00337616" w:rsidP="00337616">
      <w:pPr>
        <w:rPr>
          <w:rFonts w:ascii="Arial" w:hAnsi="Arial" w:cs="Arial"/>
          <w:sz w:val="24"/>
          <w:szCs w:val="24"/>
          <w:u w:val="single"/>
        </w:rPr>
      </w:pPr>
      <w:r w:rsidRPr="004E04B0">
        <w:rPr>
          <w:rFonts w:ascii="Arial" w:hAnsi="Arial" w:cs="Arial"/>
          <w:sz w:val="24"/>
          <w:szCs w:val="24"/>
          <w:u w:val="single"/>
        </w:rPr>
        <w:t>Local Context: Availability of Housing.</w:t>
      </w:r>
    </w:p>
    <w:p w:rsidR="00337616" w:rsidRPr="004E04B0" w:rsidRDefault="00337616" w:rsidP="00337616">
      <w:pPr>
        <w:rPr>
          <w:rFonts w:ascii="Arial" w:hAnsi="Arial" w:cs="Arial"/>
          <w:sz w:val="24"/>
          <w:szCs w:val="24"/>
        </w:rPr>
      </w:pPr>
      <w:r w:rsidRPr="004E04B0">
        <w:rPr>
          <w:rFonts w:ascii="Arial" w:hAnsi="Arial" w:cs="Arial"/>
          <w:sz w:val="24"/>
          <w:szCs w:val="24"/>
        </w:rPr>
        <w:t xml:space="preserve">Following a downward trend since 2014 in the number of social housing properties becoming available, there was an increase in 2017/18 as the council completed building the first new council houses for decades. However, the numbers </w:t>
      </w:r>
      <w:r w:rsidR="00D42856">
        <w:rPr>
          <w:rFonts w:ascii="Arial" w:hAnsi="Arial" w:cs="Arial"/>
          <w:sz w:val="24"/>
          <w:szCs w:val="24"/>
        </w:rPr>
        <w:t>have</w:t>
      </w:r>
      <w:r w:rsidRPr="004E04B0">
        <w:rPr>
          <w:rFonts w:ascii="Arial" w:hAnsi="Arial" w:cs="Arial"/>
          <w:sz w:val="24"/>
          <w:szCs w:val="24"/>
        </w:rPr>
        <w:t xml:space="preserve"> decrease</w:t>
      </w:r>
      <w:r w:rsidR="00D42856">
        <w:rPr>
          <w:rFonts w:ascii="Arial" w:hAnsi="Arial" w:cs="Arial"/>
          <w:sz w:val="24"/>
          <w:szCs w:val="24"/>
        </w:rPr>
        <w:t>d</w:t>
      </w:r>
      <w:r w:rsidRPr="004E04B0">
        <w:rPr>
          <w:rFonts w:ascii="Arial" w:hAnsi="Arial" w:cs="Arial"/>
          <w:sz w:val="24"/>
          <w:szCs w:val="24"/>
        </w:rPr>
        <w:t xml:space="preserve"> this year compared to the previous year.</w:t>
      </w:r>
    </w:p>
    <w:tbl>
      <w:tblPr>
        <w:tblStyle w:val="TableGrid"/>
        <w:tblW w:w="0" w:type="auto"/>
        <w:tblInd w:w="3652" w:type="dxa"/>
        <w:tblLook w:val="04A0"/>
      </w:tblPr>
      <w:tblGrid>
        <w:gridCol w:w="2268"/>
        <w:gridCol w:w="5103"/>
      </w:tblGrid>
      <w:tr w:rsidR="00337616" w:rsidRPr="004E04B0" w:rsidTr="00337616">
        <w:tc>
          <w:tcPr>
            <w:tcW w:w="2268" w:type="dxa"/>
          </w:tcPr>
          <w:p w:rsidR="00337616" w:rsidRPr="004E04B0" w:rsidRDefault="00337616" w:rsidP="00337616">
            <w:pPr>
              <w:jc w:val="center"/>
              <w:rPr>
                <w:rFonts w:ascii="Arial" w:hAnsi="Arial" w:cs="Arial"/>
                <w:b/>
                <w:sz w:val="24"/>
                <w:szCs w:val="24"/>
              </w:rPr>
            </w:pPr>
            <w:r w:rsidRPr="004E04B0">
              <w:rPr>
                <w:rFonts w:ascii="Arial" w:hAnsi="Arial" w:cs="Arial"/>
                <w:b/>
                <w:sz w:val="24"/>
                <w:szCs w:val="24"/>
              </w:rPr>
              <w:t>Year.</w:t>
            </w:r>
          </w:p>
        </w:tc>
        <w:tc>
          <w:tcPr>
            <w:tcW w:w="5103" w:type="dxa"/>
          </w:tcPr>
          <w:p w:rsidR="00337616" w:rsidRPr="004E04B0" w:rsidRDefault="00337616" w:rsidP="00337616">
            <w:pPr>
              <w:jc w:val="center"/>
              <w:rPr>
                <w:rFonts w:ascii="Arial" w:hAnsi="Arial" w:cs="Arial"/>
                <w:b/>
                <w:sz w:val="24"/>
                <w:szCs w:val="24"/>
              </w:rPr>
            </w:pPr>
            <w:r w:rsidRPr="004E04B0">
              <w:rPr>
                <w:rFonts w:ascii="Arial" w:hAnsi="Arial" w:cs="Arial"/>
                <w:b/>
                <w:sz w:val="24"/>
                <w:szCs w:val="24"/>
              </w:rPr>
              <w:t>New Social Housing Tenancies.</w:t>
            </w:r>
          </w:p>
        </w:tc>
      </w:tr>
      <w:tr w:rsidR="00337616" w:rsidRPr="004E04B0" w:rsidTr="00337616">
        <w:tc>
          <w:tcPr>
            <w:tcW w:w="2268" w:type="dxa"/>
          </w:tcPr>
          <w:p w:rsidR="00337616" w:rsidRPr="004E04B0" w:rsidRDefault="00337616" w:rsidP="00337616">
            <w:pPr>
              <w:jc w:val="center"/>
              <w:rPr>
                <w:rFonts w:ascii="Arial" w:hAnsi="Arial" w:cs="Arial"/>
                <w:sz w:val="24"/>
                <w:szCs w:val="24"/>
              </w:rPr>
            </w:pPr>
            <w:r w:rsidRPr="004E04B0">
              <w:rPr>
                <w:rFonts w:ascii="Arial" w:hAnsi="Arial" w:cs="Arial"/>
                <w:sz w:val="24"/>
                <w:szCs w:val="24"/>
              </w:rPr>
              <w:t>2014/15</w:t>
            </w:r>
          </w:p>
        </w:tc>
        <w:tc>
          <w:tcPr>
            <w:tcW w:w="5103" w:type="dxa"/>
          </w:tcPr>
          <w:p w:rsidR="00337616" w:rsidRPr="004E04B0" w:rsidRDefault="00337616" w:rsidP="00337616">
            <w:pPr>
              <w:jc w:val="center"/>
              <w:rPr>
                <w:rFonts w:ascii="Arial" w:hAnsi="Arial" w:cs="Arial"/>
                <w:sz w:val="24"/>
                <w:szCs w:val="24"/>
              </w:rPr>
            </w:pPr>
            <w:r w:rsidRPr="004E04B0">
              <w:rPr>
                <w:rFonts w:ascii="Arial" w:hAnsi="Arial" w:cs="Arial"/>
                <w:sz w:val="24"/>
                <w:szCs w:val="24"/>
              </w:rPr>
              <w:t>648</w:t>
            </w:r>
          </w:p>
        </w:tc>
      </w:tr>
      <w:tr w:rsidR="00337616" w:rsidRPr="004E04B0" w:rsidTr="00337616">
        <w:tc>
          <w:tcPr>
            <w:tcW w:w="2268" w:type="dxa"/>
          </w:tcPr>
          <w:p w:rsidR="00337616" w:rsidRPr="004E04B0" w:rsidRDefault="00337616" w:rsidP="00337616">
            <w:pPr>
              <w:jc w:val="center"/>
              <w:rPr>
                <w:rFonts w:ascii="Arial" w:hAnsi="Arial" w:cs="Arial"/>
                <w:sz w:val="24"/>
                <w:szCs w:val="24"/>
              </w:rPr>
            </w:pPr>
            <w:r w:rsidRPr="004E04B0">
              <w:rPr>
                <w:rFonts w:ascii="Arial" w:hAnsi="Arial" w:cs="Arial"/>
                <w:sz w:val="24"/>
                <w:szCs w:val="24"/>
              </w:rPr>
              <w:t>2015/16</w:t>
            </w:r>
          </w:p>
        </w:tc>
        <w:tc>
          <w:tcPr>
            <w:tcW w:w="5103" w:type="dxa"/>
          </w:tcPr>
          <w:p w:rsidR="00337616" w:rsidRPr="004E04B0" w:rsidRDefault="00337616" w:rsidP="00337616">
            <w:pPr>
              <w:jc w:val="center"/>
              <w:rPr>
                <w:rFonts w:ascii="Arial" w:hAnsi="Arial" w:cs="Arial"/>
                <w:sz w:val="24"/>
                <w:szCs w:val="24"/>
              </w:rPr>
            </w:pPr>
            <w:r w:rsidRPr="004E04B0">
              <w:rPr>
                <w:rFonts w:ascii="Arial" w:hAnsi="Arial" w:cs="Arial"/>
                <w:sz w:val="24"/>
                <w:szCs w:val="24"/>
              </w:rPr>
              <w:t>471</w:t>
            </w:r>
          </w:p>
        </w:tc>
      </w:tr>
      <w:tr w:rsidR="00337616" w:rsidRPr="004E04B0" w:rsidTr="00337616">
        <w:tc>
          <w:tcPr>
            <w:tcW w:w="2268" w:type="dxa"/>
          </w:tcPr>
          <w:p w:rsidR="00337616" w:rsidRPr="004E04B0" w:rsidRDefault="00337616" w:rsidP="00337616">
            <w:pPr>
              <w:jc w:val="center"/>
              <w:rPr>
                <w:rFonts w:ascii="Arial" w:hAnsi="Arial" w:cs="Arial"/>
                <w:sz w:val="24"/>
                <w:szCs w:val="24"/>
              </w:rPr>
            </w:pPr>
            <w:r w:rsidRPr="004E04B0">
              <w:rPr>
                <w:rFonts w:ascii="Arial" w:hAnsi="Arial" w:cs="Arial"/>
                <w:sz w:val="24"/>
                <w:szCs w:val="24"/>
              </w:rPr>
              <w:t>2016/17</w:t>
            </w:r>
          </w:p>
        </w:tc>
        <w:tc>
          <w:tcPr>
            <w:tcW w:w="5103" w:type="dxa"/>
          </w:tcPr>
          <w:p w:rsidR="00337616" w:rsidRPr="004E04B0" w:rsidRDefault="00337616" w:rsidP="00337616">
            <w:pPr>
              <w:jc w:val="center"/>
              <w:rPr>
                <w:rFonts w:ascii="Arial" w:hAnsi="Arial" w:cs="Arial"/>
                <w:sz w:val="24"/>
                <w:szCs w:val="24"/>
              </w:rPr>
            </w:pPr>
            <w:r w:rsidRPr="004E04B0">
              <w:rPr>
                <w:rFonts w:ascii="Arial" w:hAnsi="Arial" w:cs="Arial"/>
                <w:sz w:val="24"/>
                <w:szCs w:val="24"/>
              </w:rPr>
              <w:t>441</w:t>
            </w:r>
          </w:p>
        </w:tc>
      </w:tr>
      <w:tr w:rsidR="00337616" w:rsidRPr="004E04B0" w:rsidTr="00337616">
        <w:tc>
          <w:tcPr>
            <w:tcW w:w="2268" w:type="dxa"/>
          </w:tcPr>
          <w:p w:rsidR="00337616" w:rsidRPr="004E04B0" w:rsidRDefault="00337616" w:rsidP="00337616">
            <w:pPr>
              <w:jc w:val="center"/>
              <w:rPr>
                <w:rFonts w:ascii="Arial" w:hAnsi="Arial" w:cs="Arial"/>
                <w:sz w:val="24"/>
                <w:szCs w:val="24"/>
              </w:rPr>
            </w:pPr>
            <w:r w:rsidRPr="004E04B0">
              <w:rPr>
                <w:rFonts w:ascii="Arial" w:hAnsi="Arial" w:cs="Arial"/>
                <w:sz w:val="24"/>
                <w:szCs w:val="24"/>
              </w:rPr>
              <w:t>2017/18</w:t>
            </w:r>
          </w:p>
        </w:tc>
        <w:tc>
          <w:tcPr>
            <w:tcW w:w="5103" w:type="dxa"/>
          </w:tcPr>
          <w:p w:rsidR="00337616" w:rsidRPr="004E04B0" w:rsidRDefault="00337616" w:rsidP="00337616">
            <w:pPr>
              <w:jc w:val="center"/>
              <w:rPr>
                <w:rFonts w:ascii="Arial" w:hAnsi="Arial" w:cs="Arial"/>
                <w:sz w:val="24"/>
                <w:szCs w:val="24"/>
              </w:rPr>
            </w:pPr>
            <w:r w:rsidRPr="004E04B0">
              <w:rPr>
                <w:rFonts w:ascii="Arial" w:hAnsi="Arial" w:cs="Arial"/>
                <w:sz w:val="24"/>
                <w:szCs w:val="24"/>
              </w:rPr>
              <w:t>478</w:t>
            </w:r>
          </w:p>
        </w:tc>
      </w:tr>
      <w:tr w:rsidR="00337616" w:rsidRPr="004E04B0" w:rsidTr="00337616">
        <w:tc>
          <w:tcPr>
            <w:tcW w:w="2268" w:type="dxa"/>
          </w:tcPr>
          <w:p w:rsidR="00337616" w:rsidRPr="004E04B0" w:rsidRDefault="00337616" w:rsidP="00337616">
            <w:pPr>
              <w:jc w:val="center"/>
              <w:rPr>
                <w:rFonts w:ascii="Arial" w:hAnsi="Arial" w:cs="Arial"/>
                <w:sz w:val="24"/>
                <w:szCs w:val="24"/>
              </w:rPr>
            </w:pPr>
            <w:r w:rsidRPr="004E04B0">
              <w:rPr>
                <w:rFonts w:ascii="Arial" w:hAnsi="Arial" w:cs="Arial"/>
                <w:sz w:val="24"/>
                <w:szCs w:val="24"/>
              </w:rPr>
              <w:t xml:space="preserve">2018/19 </w:t>
            </w:r>
          </w:p>
        </w:tc>
        <w:tc>
          <w:tcPr>
            <w:tcW w:w="5103" w:type="dxa"/>
          </w:tcPr>
          <w:p w:rsidR="00337616" w:rsidRPr="004E04B0" w:rsidRDefault="00337616" w:rsidP="00337616">
            <w:pPr>
              <w:jc w:val="center"/>
              <w:rPr>
                <w:rFonts w:ascii="Arial" w:hAnsi="Arial" w:cs="Arial"/>
                <w:sz w:val="24"/>
                <w:szCs w:val="24"/>
              </w:rPr>
            </w:pPr>
            <w:r w:rsidRPr="004E04B0">
              <w:rPr>
                <w:rFonts w:ascii="Arial" w:hAnsi="Arial" w:cs="Arial"/>
                <w:sz w:val="24"/>
                <w:szCs w:val="24"/>
              </w:rPr>
              <w:t>4</w:t>
            </w:r>
            <w:r>
              <w:rPr>
                <w:rFonts w:ascii="Arial" w:hAnsi="Arial" w:cs="Arial"/>
                <w:sz w:val="24"/>
                <w:szCs w:val="24"/>
              </w:rPr>
              <w:t>39</w:t>
            </w:r>
          </w:p>
        </w:tc>
      </w:tr>
    </w:tbl>
    <w:p w:rsidR="00337616" w:rsidRPr="004E04B0" w:rsidRDefault="00337616" w:rsidP="00337616">
      <w:pPr>
        <w:rPr>
          <w:rFonts w:ascii="Arial" w:hAnsi="Arial" w:cs="Arial"/>
          <w:sz w:val="24"/>
          <w:szCs w:val="24"/>
        </w:rPr>
      </w:pPr>
    </w:p>
    <w:p w:rsidR="00337616" w:rsidRPr="004E04B0" w:rsidRDefault="00337616" w:rsidP="00337616">
      <w:pPr>
        <w:jc w:val="both"/>
        <w:rPr>
          <w:rFonts w:ascii="Arial" w:hAnsi="Arial" w:cs="Arial"/>
          <w:sz w:val="24"/>
          <w:szCs w:val="24"/>
        </w:rPr>
      </w:pPr>
      <w:r w:rsidRPr="004E04B0">
        <w:rPr>
          <w:rFonts w:ascii="Arial" w:hAnsi="Arial" w:cs="Arial"/>
          <w:sz w:val="24"/>
          <w:szCs w:val="24"/>
        </w:rPr>
        <w:t>Since the introduction of the Localism Act 2011, local authorities have been able to discharge homeless duties into the private sector. However, due to the nature of the private sector housing market in Stroud District, and the continuing effects of welfare reform, it has not been possible to discharge a homeless duty into the private sector. The Homelessness (Suitability of Accommodation) Order 2012 has, among other criteria, strict standards for affordability which excludes the private sector rent levels. The freezing of some benefits, particularly Housing Benefit, has placed extra pressure on low income households, and the introduction of Universal Credit has made many landlords, including Registered Providers, more risk averse when it comes to granting tenancies.</w:t>
      </w:r>
    </w:p>
    <w:p w:rsidR="00337616" w:rsidRPr="004E04B0" w:rsidRDefault="00337616" w:rsidP="00337616">
      <w:pPr>
        <w:autoSpaceDE w:val="0"/>
        <w:autoSpaceDN w:val="0"/>
        <w:adjustRightInd w:val="0"/>
        <w:spacing w:after="0" w:line="240" w:lineRule="auto"/>
        <w:jc w:val="both"/>
        <w:rPr>
          <w:rFonts w:ascii="Arial" w:hAnsi="Arial" w:cs="Arial"/>
          <w:sz w:val="24"/>
          <w:szCs w:val="24"/>
        </w:rPr>
      </w:pPr>
      <w:r w:rsidRPr="004E04B0">
        <w:rPr>
          <w:rFonts w:ascii="Arial" w:hAnsi="Arial" w:cs="Arial"/>
          <w:sz w:val="24"/>
          <w:szCs w:val="24"/>
        </w:rPr>
        <w:t>In the rental market, average entry level private rents (per month) are well above Local Housing Allowance (LHA) rates (the maximum amount of housing benefit or housing element of Universal Credit that is payable) meaning that even on full housing benefit, top up monies have to be paid</w:t>
      </w:r>
      <w:r w:rsidR="00D42856">
        <w:rPr>
          <w:rFonts w:ascii="Arial" w:hAnsi="Arial" w:cs="Arial"/>
          <w:sz w:val="24"/>
          <w:szCs w:val="24"/>
        </w:rPr>
        <w:t xml:space="preserve"> to secure a tenancy</w:t>
      </w:r>
      <w:r w:rsidRPr="004E04B0">
        <w:rPr>
          <w:rFonts w:ascii="Arial" w:hAnsi="Arial" w:cs="Arial"/>
          <w:sz w:val="24"/>
          <w:szCs w:val="24"/>
        </w:rPr>
        <w:t xml:space="preserve">. </w:t>
      </w:r>
    </w:p>
    <w:p w:rsidR="00337616" w:rsidRPr="004E04B0" w:rsidRDefault="00337616" w:rsidP="00337616">
      <w:pPr>
        <w:autoSpaceDE w:val="0"/>
        <w:autoSpaceDN w:val="0"/>
        <w:adjustRightInd w:val="0"/>
        <w:spacing w:after="0" w:line="240" w:lineRule="auto"/>
        <w:jc w:val="center"/>
        <w:rPr>
          <w:rFonts w:ascii="Arial" w:hAnsi="Arial" w:cs="Arial"/>
          <w:sz w:val="24"/>
          <w:szCs w:val="24"/>
        </w:rPr>
      </w:pPr>
    </w:p>
    <w:p w:rsidR="00337616" w:rsidRPr="004E04B0" w:rsidRDefault="00337616" w:rsidP="00337616">
      <w:pPr>
        <w:autoSpaceDE w:val="0"/>
        <w:autoSpaceDN w:val="0"/>
        <w:adjustRightInd w:val="0"/>
        <w:spacing w:after="0" w:line="240" w:lineRule="auto"/>
        <w:jc w:val="center"/>
        <w:rPr>
          <w:rFonts w:ascii="Arial" w:hAnsi="Arial" w:cs="Arial"/>
          <w:sz w:val="24"/>
          <w:szCs w:val="24"/>
        </w:rPr>
      </w:pPr>
    </w:p>
    <w:p w:rsidR="00337616" w:rsidRPr="004E04B0" w:rsidRDefault="00337616" w:rsidP="00337616">
      <w:pPr>
        <w:autoSpaceDE w:val="0"/>
        <w:autoSpaceDN w:val="0"/>
        <w:adjustRightInd w:val="0"/>
        <w:spacing w:after="0" w:line="240" w:lineRule="auto"/>
        <w:jc w:val="center"/>
        <w:rPr>
          <w:rFonts w:ascii="Arial" w:hAnsi="Arial" w:cs="Arial"/>
          <w:sz w:val="24"/>
          <w:szCs w:val="24"/>
        </w:rPr>
      </w:pPr>
    </w:p>
    <w:p w:rsidR="00337616" w:rsidRPr="004E04B0" w:rsidRDefault="00337616" w:rsidP="00337616">
      <w:pPr>
        <w:autoSpaceDE w:val="0"/>
        <w:autoSpaceDN w:val="0"/>
        <w:adjustRightInd w:val="0"/>
        <w:spacing w:after="0" w:line="240" w:lineRule="auto"/>
        <w:jc w:val="center"/>
        <w:rPr>
          <w:rFonts w:ascii="Arial" w:hAnsi="Arial" w:cs="Arial"/>
          <w:sz w:val="24"/>
          <w:szCs w:val="24"/>
        </w:rPr>
      </w:pPr>
    </w:p>
    <w:p w:rsidR="00337616" w:rsidRDefault="00337616" w:rsidP="00337616">
      <w:pPr>
        <w:autoSpaceDE w:val="0"/>
        <w:autoSpaceDN w:val="0"/>
        <w:adjustRightInd w:val="0"/>
        <w:spacing w:after="0" w:line="240" w:lineRule="auto"/>
        <w:jc w:val="center"/>
        <w:rPr>
          <w:rFonts w:ascii="Arial" w:hAnsi="Arial" w:cs="Arial"/>
          <w:sz w:val="24"/>
          <w:szCs w:val="24"/>
        </w:rPr>
      </w:pPr>
    </w:p>
    <w:p w:rsidR="00337616" w:rsidRDefault="00337616" w:rsidP="00337616">
      <w:pPr>
        <w:autoSpaceDE w:val="0"/>
        <w:autoSpaceDN w:val="0"/>
        <w:adjustRightInd w:val="0"/>
        <w:spacing w:after="0" w:line="240" w:lineRule="auto"/>
        <w:jc w:val="center"/>
        <w:rPr>
          <w:rFonts w:ascii="Arial" w:hAnsi="Arial" w:cs="Arial"/>
          <w:sz w:val="24"/>
          <w:szCs w:val="24"/>
        </w:rPr>
      </w:pPr>
    </w:p>
    <w:p w:rsidR="00337616" w:rsidRDefault="00337616" w:rsidP="00337616">
      <w:pPr>
        <w:autoSpaceDE w:val="0"/>
        <w:autoSpaceDN w:val="0"/>
        <w:adjustRightInd w:val="0"/>
        <w:spacing w:after="0" w:line="240" w:lineRule="auto"/>
        <w:jc w:val="center"/>
        <w:rPr>
          <w:rFonts w:ascii="Arial" w:hAnsi="Arial" w:cs="Arial"/>
          <w:sz w:val="24"/>
          <w:szCs w:val="24"/>
        </w:rPr>
      </w:pPr>
    </w:p>
    <w:p w:rsidR="00337616" w:rsidRPr="004E04B0" w:rsidRDefault="00337616" w:rsidP="00337616">
      <w:pPr>
        <w:autoSpaceDE w:val="0"/>
        <w:autoSpaceDN w:val="0"/>
        <w:adjustRightInd w:val="0"/>
        <w:spacing w:after="0" w:line="240" w:lineRule="auto"/>
        <w:jc w:val="center"/>
        <w:rPr>
          <w:rFonts w:ascii="Arial" w:hAnsi="Arial" w:cs="Arial"/>
          <w:sz w:val="24"/>
          <w:szCs w:val="24"/>
        </w:rPr>
      </w:pPr>
    </w:p>
    <w:p w:rsidR="00337616" w:rsidRDefault="00337616" w:rsidP="00337616">
      <w:pPr>
        <w:autoSpaceDE w:val="0"/>
        <w:autoSpaceDN w:val="0"/>
        <w:adjustRightInd w:val="0"/>
        <w:spacing w:after="0" w:line="240" w:lineRule="auto"/>
        <w:jc w:val="center"/>
        <w:rPr>
          <w:rFonts w:ascii="Arial" w:hAnsi="Arial" w:cs="Arial"/>
          <w:sz w:val="24"/>
          <w:szCs w:val="24"/>
        </w:rPr>
      </w:pPr>
    </w:p>
    <w:p w:rsidR="00924DA1" w:rsidRPr="004E04B0" w:rsidRDefault="00924DA1" w:rsidP="00337616">
      <w:pPr>
        <w:autoSpaceDE w:val="0"/>
        <w:autoSpaceDN w:val="0"/>
        <w:adjustRightInd w:val="0"/>
        <w:spacing w:after="0" w:line="240" w:lineRule="auto"/>
        <w:jc w:val="center"/>
        <w:rPr>
          <w:rFonts w:ascii="Arial" w:hAnsi="Arial" w:cs="Arial"/>
          <w:sz w:val="24"/>
          <w:szCs w:val="24"/>
        </w:rPr>
      </w:pPr>
    </w:p>
    <w:tbl>
      <w:tblPr>
        <w:tblStyle w:val="TableGrid"/>
        <w:tblW w:w="0" w:type="auto"/>
        <w:jc w:val="center"/>
        <w:tblLook w:val="04A0"/>
      </w:tblPr>
      <w:tblGrid>
        <w:gridCol w:w="2344"/>
        <w:gridCol w:w="2236"/>
        <w:gridCol w:w="2426"/>
      </w:tblGrid>
      <w:tr w:rsidR="00337616" w:rsidRPr="004E04B0" w:rsidTr="00337616">
        <w:trPr>
          <w:jc w:val="center"/>
        </w:trPr>
        <w:tc>
          <w:tcPr>
            <w:tcW w:w="2344"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Property size</w:t>
            </w:r>
          </w:p>
        </w:tc>
        <w:tc>
          <w:tcPr>
            <w:tcW w:w="2236"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Local Housing Allowance</w:t>
            </w:r>
          </w:p>
        </w:tc>
        <w:tc>
          <w:tcPr>
            <w:tcW w:w="2426"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Stroud District</w:t>
            </w:r>
          </w:p>
          <w:p w:rsidR="00337616" w:rsidRPr="004E04B0" w:rsidRDefault="00337616" w:rsidP="00337616">
            <w:pPr>
              <w:autoSpaceDE w:val="0"/>
              <w:autoSpaceDN w:val="0"/>
              <w:adjustRightInd w:val="0"/>
              <w:jc w:val="center"/>
              <w:rPr>
                <w:rFonts w:ascii="Arial" w:hAnsi="Arial" w:cs="Arial"/>
                <w:sz w:val="24"/>
                <w:szCs w:val="24"/>
              </w:rPr>
            </w:pPr>
          </w:p>
        </w:tc>
      </w:tr>
      <w:tr w:rsidR="00337616" w:rsidRPr="004E04B0" w:rsidTr="00337616">
        <w:trPr>
          <w:jc w:val="center"/>
        </w:trPr>
        <w:tc>
          <w:tcPr>
            <w:tcW w:w="2344"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1 bed</w:t>
            </w:r>
          </w:p>
        </w:tc>
        <w:tc>
          <w:tcPr>
            <w:tcW w:w="2236"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£398-88</w:t>
            </w:r>
          </w:p>
        </w:tc>
        <w:tc>
          <w:tcPr>
            <w:tcW w:w="2426"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£525</w:t>
            </w:r>
          </w:p>
        </w:tc>
      </w:tr>
      <w:tr w:rsidR="00337616" w:rsidRPr="004E04B0" w:rsidTr="00337616">
        <w:trPr>
          <w:jc w:val="center"/>
        </w:trPr>
        <w:tc>
          <w:tcPr>
            <w:tcW w:w="2344"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2 bed</w:t>
            </w:r>
          </w:p>
        </w:tc>
        <w:tc>
          <w:tcPr>
            <w:tcW w:w="2236"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£530-23</w:t>
            </w:r>
          </w:p>
        </w:tc>
        <w:tc>
          <w:tcPr>
            <w:tcW w:w="2426"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£650</w:t>
            </w:r>
          </w:p>
        </w:tc>
      </w:tr>
      <w:tr w:rsidR="00337616" w:rsidRPr="004E04B0" w:rsidTr="00337616">
        <w:trPr>
          <w:jc w:val="center"/>
        </w:trPr>
        <w:tc>
          <w:tcPr>
            <w:tcW w:w="2344"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3 bed</w:t>
            </w:r>
          </w:p>
        </w:tc>
        <w:tc>
          <w:tcPr>
            <w:tcW w:w="2236"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£637-56</w:t>
            </w:r>
          </w:p>
        </w:tc>
        <w:tc>
          <w:tcPr>
            <w:tcW w:w="2426"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£825</w:t>
            </w:r>
          </w:p>
        </w:tc>
      </w:tr>
      <w:tr w:rsidR="00337616" w:rsidRPr="004E04B0" w:rsidTr="00337616">
        <w:trPr>
          <w:jc w:val="center"/>
        </w:trPr>
        <w:tc>
          <w:tcPr>
            <w:tcW w:w="2344"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4 bed +</w:t>
            </w:r>
          </w:p>
        </w:tc>
        <w:tc>
          <w:tcPr>
            <w:tcW w:w="2236"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£810-94</w:t>
            </w:r>
          </w:p>
        </w:tc>
        <w:tc>
          <w:tcPr>
            <w:tcW w:w="2426" w:type="dxa"/>
          </w:tcPr>
          <w:p w:rsidR="00337616" w:rsidRPr="004E04B0" w:rsidRDefault="00337616" w:rsidP="00337616">
            <w:pPr>
              <w:autoSpaceDE w:val="0"/>
              <w:autoSpaceDN w:val="0"/>
              <w:adjustRightInd w:val="0"/>
              <w:jc w:val="center"/>
              <w:rPr>
                <w:rFonts w:ascii="Arial" w:hAnsi="Arial" w:cs="Arial"/>
                <w:sz w:val="24"/>
                <w:szCs w:val="24"/>
              </w:rPr>
            </w:pPr>
            <w:r w:rsidRPr="004E04B0">
              <w:rPr>
                <w:rFonts w:ascii="Arial" w:hAnsi="Arial" w:cs="Arial"/>
                <w:sz w:val="24"/>
                <w:szCs w:val="24"/>
              </w:rPr>
              <w:t>£1200</w:t>
            </w:r>
          </w:p>
        </w:tc>
      </w:tr>
    </w:tbl>
    <w:p w:rsidR="00337616" w:rsidRDefault="00337616" w:rsidP="00337616">
      <w:pPr>
        <w:autoSpaceDE w:val="0"/>
        <w:autoSpaceDN w:val="0"/>
        <w:adjustRightInd w:val="0"/>
        <w:spacing w:after="0" w:line="240" w:lineRule="auto"/>
        <w:jc w:val="center"/>
        <w:rPr>
          <w:rFonts w:ascii="Arial" w:hAnsi="Arial" w:cs="Arial"/>
        </w:rPr>
      </w:pPr>
    </w:p>
    <w:p w:rsidR="00337616" w:rsidRPr="0059268E" w:rsidRDefault="00337616" w:rsidP="00337616">
      <w:pPr>
        <w:autoSpaceDE w:val="0"/>
        <w:autoSpaceDN w:val="0"/>
        <w:adjustRightInd w:val="0"/>
        <w:spacing w:after="0" w:line="240" w:lineRule="auto"/>
        <w:jc w:val="center"/>
        <w:rPr>
          <w:rFonts w:ascii="Arial" w:hAnsi="Arial" w:cs="Arial"/>
        </w:rPr>
      </w:pPr>
      <w:r>
        <w:rPr>
          <w:rFonts w:ascii="Arial" w:hAnsi="Arial" w:cs="Arial"/>
        </w:rPr>
        <w:t>(Median rents for 2017/18 from Valuation Office Agency).</w:t>
      </w:r>
    </w:p>
    <w:p w:rsidR="00337616" w:rsidRDefault="00337616" w:rsidP="00337616">
      <w:pPr>
        <w:autoSpaceDE w:val="0"/>
        <w:autoSpaceDN w:val="0"/>
        <w:adjustRightInd w:val="0"/>
        <w:spacing w:after="0" w:line="240" w:lineRule="auto"/>
        <w:jc w:val="both"/>
        <w:rPr>
          <w:rFonts w:ascii="Arial" w:hAnsi="Arial" w:cs="Arial"/>
        </w:rPr>
      </w:pPr>
    </w:p>
    <w:p w:rsidR="00337616" w:rsidRDefault="00337616" w:rsidP="00337616">
      <w:pPr>
        <w:rPr>
          <w:rFonts w:ascii="Arial" w:hAnsi="Arial" w:cs="Arial"/>
          <w:u w:val="single"/>
        </w:rPr>
      </w:pPr>
    </w:p>
    <w:p w:rsidR="00337616" w:rsidRDefault="00337616" w:rsidP="00337616">
      <w:pPr>
        <w:rPr>
          <w:rFonts w:ascii="Arial" w:hAnsi="Arial" w:cs="Arial"/>
          <w:u w:val="single"/>
        </w:rPr>
      </w:pPr>
    </w:p>
    <w:p w:rsidR="00337616" w:rsidRPr="0039360B" w:rsidRDefault="00337616" w:rsidP="00337616">
      <w:pPr>
        <w:rPr>
          <w:rFonts w:ascii="Arial" w:hAnsi="Arial" w:cs="Arial"/>
          <w:sz w:val="24"/>
          <w:szCs w:val="24"/>
          <w:u w:val="single"/>
        </w:rPr>
      </w:pPr>
      <w:r w:rsidRPr="0039360B">
        <w:rPr>
          <w:rFonts w:ascii="Arial" w:hAnsi="Arial" w:cs="Arial"/>
          <w:sz w:val="24"/>
          <w:szCs w:val="24"/>
          <w:u w:val="single"/>
        </w:rPr>
        <w:t>Local Context: Temporary Accommodation.</w:t>
      </w:r>
    </w:p>
    <w:p w:rsidR="00337616" w:rsidRPr="0039360B" w:rsidRDefault="00337616" w:rsidP="00337616">
      <w:pPr>
        <w:rPr>
          <w:rFonts w:ascii="Arial" w:hAnsi="Arial" w:cs="Arial"/>
          <w:sz w:val="24"/>
          <w:szCs w:val="24"/>
        </w:rPr>
      </w:pPr>
      <w:r w:rsidRPr="0039360B">
        <w:rPr>
          <w:rFonts w:ascii="Arial" w:hAnsi="Arial" w:cs="Arial"/>
          <w:sz w:val="24"/>
          <w:szCs w:val="24"/>
        </w:rPr>
        <w:t xml:space="preserve">It is a requirement of Homelessness Strategies under Section 3(1) (b) of the 2002 Act to ensure there is a sufficient supply of temporary accommodation available. In terms of bed and breakfast (B&amp;B) use, the number of households has risen significantly following several years with little change, as has the use of temporary accommodation. Homelessness across the county is on the increase and the bed and breakfasts that provide accommodation are also used by the other Local Authorities. This has led to this accommodation often being full so we have had to use hotel accommodation such as Travelodge and Premier Inn more frequently. As the number of homeless households increases, and it gets more difficult to move them on into long term housing, the average length of time in temporary accommodation has increased. This along with the temporary accommodation that is available being more </w:t>
      </w:r>
      <w:proofErr w:type="gramStart"/>
      <w:r w:rsidRPr="0039360B">
        <w:rPr>
          <w:rFonts w:ascii="Arial" w:hAnsi="Arial" w:cs="Arial"/>
          <w:sz w:val="24"/>
          <w:szCs w:val="24"/>
        </w:rPr>
        <w:t>expensive,</w:t>
      </w:r>
      <w:proofErr w:type="gramEnd"/>
      <w:r w:rsidRPr="0039360B">
        <w:rPr>
          <w:rFonts w:ascii="Arial" w:hAnsi="Arial" w:cs="Arial"/>
          <w:sz w:val="24"/>
          <w:szCs w:val="24"/>
        </w:rPr>
        <w:t xml:space="preserve"> has led to a significant increase in costs with the budget this year expected to be overspent by fourfold. The difficulty in sourcing temporary accommodation has also led to families having to be accommodated as far away as Bristol. The lack of suitable family accommodation</w:t>
      </w:r>
      <w:r>
        <w:rPr>
          <w:rFonts w:ascii="Arial" w:hAnsi="Arial" w:cs="Arial"/>
          <w:sz w:val="24"/>
          <w:szCs w:val="24"/>
        </w:rPr>
        <w:t>,</w:t>
      </w:r>
      <w:r w:rsidRPr="0039360B">
        <w:rPr>
          <w:rFonts w:ascii="Arial" w:hAnsi="Arial" w:cs="Arial"/>
          <w:sz w:val="24"/>
          <w:szCs w:val="24"/>
        </w:rPr>
        <w:t xml:space="preserve"> other than in Bristol</w:t>
      </w:r>
      <w:r>
        <w:rPr>
          <w:rFonts w:ascii="Arial" w:hAnsi="Arial" w:cs="Arial"/>
          <w:sz w:val="24"/>
          <w:szCs w:val="24"/>
        </w:rPr>
        <w:t>,</w:t>
      </w:r>
      <w:r w:rsidRPr="0039360B">
        <w:rPr>
          <w:rFonts w:ascii="Arial" w:hAnsi="Arial" w:cs="Arial"/>
          <w:sz w:val="24"/>
          <w:szCs w:val="24"/>
        </w:rPr>
        <w:t xml:space="preserve"> has also led to an increase in families staying in shared facility accommodation for longer than six w</w:t>
      </w:r>
      <w:r>
        <w:rPr>
          <w:rFonts w:ascii="Arial" w:hAnsi="Arial" w:cs="Arial"/>
          <w:sz w:val="24"/>
          <w:szCs w:val="24"/>
        </w:rPr>
        <w:t>eeks, which is against statutory regulations.</w:t>
      </w:r>
    </w:p>
    <w:p w:rsidR="00337616" w:rsidRPr="0059268E" w:rsidRDefault="00337616" w:rsidP="00337616">
      <w:pPr>
        <w:rPr>
          <w:rFonts w:ascii="Arial" w:hAnsi="Arial" w:cs="Arial"/>
        </w:rPr>
      </w:pPr>
    </w:p>
    <w:tbl>
      <w:tblPr>
        <w:tblStyle w:val="TableGrid"/>
        <w:tblW w:w="0" w:type="auto"/>
        <w:tblInd w:w="250" w:type="dxa"/>
        <w:tblLook w:val="04A0"/>
      </w:tblPr>
      <w:tblGrid>
        <w:gridCol w:w="1837"/>
        <w:gridCol w:w="1355"/>
        <w:gridCol w:w="1549"/>
        <w:gridCol w:w="1549"/>
        <w:gridCol w:w="1549"/>
        <w:gridCol w:w="1285"/>
        <w:gridCol w:w="1285"/>
        <w:gridCol w:w="1285"/>
        <w:gridCol w:w="1250"/>
        <w:gridCol w:w="1250"/>
      </w:tblGrid>
      <w:tr w:rsidR="00337616" w:rsidRPr="0059268E" w:rsidTr="00337616">
        <w:tc>
          <w:tcPr>
            <w:tcW w:w="1837" w:type="dxa"/>
          </w:tcPr>
          <w:p w:rsidR="00337616" w:rsidRPr="0038467D" w:rsidRDefault="00337616" w:rsidP="00337616">
            <w:pPr>
              <w:jc w:val="center"/>
              <w:rPr>
                <w:rFonts w:ascii="Arial" w:hAnsi="Arial" w:cs="Arial"/>
              </w:rPr>
            </w:pPr>
            <w:r>
              <w:rPr>
                <w:rFonts w:ascii="Arial" w:hAnsi="Arial" w:cs="Arial"/>
                <w:b/>
              </w:rPr>
              <w:t>Year</w:t>
            </w:r>
          </w:p>
        </w:tc>
        <w:tc>
          <w:tcPr>
            <w:tcW w:w="1355" w:type="dxa"/>
          </w:tcPr>
          <w:p w:rsidR="00337616" w:rsidRPr="0059268E" w:rsidRDefault="00337616" w:rsidP="00337616">
            <w:pPr>
              <w:jc w:val="center"/>
              <w:rPr>
                <w:rFonts w:ascii="Arial" w:hAnsi="Arial" w:cs="Arial"/>
                <w:b/>
              </w:rPr>
            </w:pPr>
            <w:r w:rsidRPr="0059268E">
              <w:rPr>
                <w:rFonts w:ascii="Arial" w:hAnsi="Arial" w:cs="Arial"/>
                <w:b/>
              </w:rPr>
              <w:t>2010/11</w:t>
            </w:r>
          </w:p>
        </w:tc>
        <w:tc>
          <w:tcPr>
            <w:tcW w:w="1549" w:type="dxa"/>
          </w:tcPr>
          <w:p w:rsidR="00337616" w:rsidRPr="0059268E" w:rsidRDefault="00337616" w:rsidP="00337616">
            <w:pPr>
              <w:jc w:val="center"/>
              <w:rPr>
                <w:rFonts w:ascii="Arial" w:hAnsi="Arial" w:cs="Arial"/>
                <w:b/>
              </w:rPr>
            </w:pPr>
            <w:r w:rsidRPr="0059268E">
              <w:rPr>
                <w:rFonts w:ascii="Arial" w:hAnsi="Arial" w:cs="Arial"/>
                <w:b/>
              </w:rPr>
              <w:t>2011/12</w:t>
            </w:r>
          </w:p>
        </w:tc>
        <w:tc>
          <w:tcPr>
            <w:tcW w:w="1549" w:type="dxa"/>
          </w:tcPr>
          <w:p w:rsidR="00337616" w:rsidRPr="0059268E" w:rsidRDefault="00337616" w:rsidP="00337616">
            <w:pPr>
              <w:jc w:val="center"/>
              <w:rPr>
                <w:rFonts w:ascii="Arial" w:hAnsi="Arial" w:cs="Arial"/>
                <w:b/>
              </w:rPr>
            </w:pPr>
            <w:r w:rsidRPr="0059268E">
              <w:rPr>
                <w:rFonts w:ascii="Arial" w:hAnsi="Arial" w:cs="Arial"/>
                <w:b/>
              </w:rPr>
              <w:t>2012/13</w:t>
            </w:r>
          </w:p>
        </w:tc>
        <w:tc>
          <w:tcPr>
            <w:tcW w:w="1549" w:type="dxa"/>
          </w:tcPr>
          <w:p w:rsidR="00337616" w:rsidRPr="0059268E" w:rsidRDefault="00337616" w:rsidP="00337616">
            <w:pPr>
              <w:jc w:val="center"/>
              <w:rPr>
                <w:rFonts w:ascii="Arial" w:hAnsi="Arial" w:cs="Arial"/>
                <w:b/>
              </w:rPr>
            </w:pPr>
            <w:r w:rsidRPr="0059268E">
              <w:rPr>
                <w:rFonts w:ascii="Arial" w:hAnsi="Arial" w:cs="Arial"/>
                <w:b/>
              </w:rPr>
              <w:t>2013/14</w:t>
            </w:r>
          </w:p>
        </w:tc>
        <w:tc>
          <w:tcPr>
            <w:tcW w:w="1285" w:type="dxa"/>
          </w:tcPr>
          <w:p w:rsidR="00337616" w:rsidRPr="0059268E" w:rsidRDefault="00337616" w:rsidP="00337616">
            <w:pPr>
              <w:jc w:val="center"/>
              <w:rPr>
                <w:rFonts w:ascii="Arial" w:hAnsi="Arial" w:cs="Arial"/>
                <w:b/>
              </w:rPr>
            </w:pPr>
            <w:r>
              <w:rPr>
                <w:rFonts w:ascii="Arial" w:hAnsi="Arial" w:cs="Arial"/>
                <w:b/>
              </w:rPr>
              <w:t>2014/15</w:t>
            </w:r>
          </w:p>
        </w:tc>
        <w:tc>
          <w:tcPr>
            <w:tcW w:w="1285" w:type="dxa"/>
          </w:tcPr>
          <w:p w:rsidR="00337616" w:rsidRDefault="00337616" w:rsidP="00337616">
            <w:pPr>
              <w:jc w:val="center"/>
              <w:rPr>
                <w:rFonts w:ascii="Arial" w:hAnsi="Arial" w:cs="Arial"/>
                <w:b/>
              </w:rPr>
            </w:pPr>
            <w:r>
              <w:rPr>
                <w:rFonts w:ascii="Arial" w:hAnsi="Arial" w:cs="Arial"/>
                <w:b/>
              </w:rPr>
              <w:t>2015/16</w:t>
            </w:r>
          </w:p>
        </w:tc>
        <w:tc>
          <w:tcPr>
            <w:tcW w:w="1285" w:type="dxa"/>
          </w:tcPr>
          <w:p w:rsidR="00337616" w:rsidRDefault="00337616" w:rsidP="00337616">
            <w:pPr>
              <w:jc w:val="center"/>
              <w:rPr>
                <w:rFonts w:ascii="Arial" w:hAnsi="Arial" w:cs="Arial"/>
                <w:b/>
              </w:rPr>
            </w:pPr>
            <w:r>
              <w:rPr>
                <w:rFonts w:ascii="Arial" w:hAnsi="Arial" w:cs="Arial"/>
                <w:b/>
              </w:rPr>
              <w:t>2016/17</w:t>
            </w:r>
          </w:p>
        </w:tc>
        <w:tc>
          <w:tcPr>
            <w:tcW w:w="1250" w:type="dxa"/>
          </w:tcPr>
          <w:p w:rsidR="00337616" w:rsidRDefault="00337616" w:rsidP="00337616">
            <w:pPr>
              <w:jc w:val="center"/>
              <w:rPr>
                <w:rFonts w:ascii="Arial" w:hAnsi="Arial" w:cs="Arial"/>
                <w:b/>
              </w:rPr>
            </w:pPr>
            <w:r>
              <w:rPr>
                <w:rFonts w:ascii="Arial" w:hAnsi="Arial" w:cs="Arial"/>
                <w:b/>
              </w:rPr>
              <w:t>2017/18</w:t>
            </w:r>
          </w:p>
        </w:tc>
        <w:tc>
          <w:tcPr>
            <w:tcW w:w="1250" w:type="dxa"/>
          </w:tcPr>
          <w:p w:rsidR="00337616" w:rsidRDefault="00337616" w:rsidP="00BF5B3E">
            <w:pPr>
              <w:jc w:val="center"/>
              <w:rPr>
                <w:rFonts w:ascii="Arial" w:hAnsi="Arial" w:cs="Arial"/>
                <w:b/>
              </w:rPr>
            </w:pPr>
            <w:r>
              <w:rPr>
                <w:rFonts w:ascii="Arial" w:hAnsi="Arial" w:cs="Arial"/>
                <w:b/>
              </w:rPr>
              <w:t xml:space="preserve">2018/19 </w:t>
            </w:r>
          </w:p>
        </w:tc>
      </w:tr>
      <w:tr w:rsidR="00337616" w:rsidRPr="0059268E" w:rsidTr="00337616">
        <w:tc>
          <w:tcPr>
            <w:tcW w:w="1837" w:type="dxa"/>
          </w:tcPr>
          <w:p w:rsidR="00337616" w:rsidRPr="0059268E" w:rsidRDefault="00337616" w:rsidP="00337616">
            <w:pPr>
              <w:jc w:val="center"/>
              <w:rPr>
                <w:rFonts w:ascii="Arial" w:hAnsi="Arial" w:cs="Arial"/>
                <w:b/>
              </w:rPr>
            </w:pPr>
            <w:r w:rsidRPr="0059268E">
              <w:rPr>
                <w:rFonts w:ascii="Arial" w:hAnsi="Arial" w:cs="Arial"/>
                <w:b/>
              </w:rPr>
              <w:t>Households</w:t>
            </w:r>
          </w:p>
        </w:tc>
        <w:tc>
          <w:tcPr>
            <w:tcW w:w="1355" w:type="dxa"/>
          </w:tcPr>
          <w:p w:rsidR="00337616" w:rsidRPr="0059268E" w:rsidRDefault="00337616" w:rsidP="00337616">
            <w:pPr>
              <w:jc w:val="center"/>
              <w:rPr>
                <w:rFonts w:ascii="Arial" w:hAnsi="Arial" w:cs="Arial"/>
              </w:rPr>
            </w:pPr>
            <w:r w:rsidRPr="0059268E">
              <w:rPr>
                <w:rFonts w:ascii="Arial" w:hAnsi="Arial" w:cs="Arial"/>
              </w:rPr>
              <w:t>38</w:t>
            </w:r>
          </w:p>
        </w:tc>
        <w:tc>
          <w:tcPr>
            <w:tcW w:w="1549" w:type="dxa"/>
          </w:tcPr>
          <w:p w:rsidR="00337616" w:rsidRPr="0059268E" w:rsidRDefault="00337616" w:rsidP="00337616">
            <w:pPr>
              <w:jc w:val="center"/>
              <w:rPr>
                <w:rFonts w:ascii="Arial" w:hAnsi="Arial" w:cs="Arial"/>
              </w:rPr>
            </w:pPr>
            <w:r w:rsidRPr="0059268E">
              <w:rPr>
                <w:rFonts w:ascii="Arial" w:hAnsi="Arial" w:cs="Arial"/>
              </w:rPr>
              <w:t>42</w:t>
            </w:r>
          </w:p>
        </w:tc>
        <w:tc>
          <w:tcPr>
            <w:tcW w:w="1549" w:type="dxa"/>
          </w:tcPr>
          <w:p w:rsidR="00337616" w:rsidRPr="0059268E" w:rsidRDefault="00337616" w:rsidP="00337616">
            <w:pPr>
              <w:jc w:val="center"/>
              <w:rPr>
                <w:rFonts w:ascii="Arial" w:hAnsi="Arial" w:cs="Arial"/>
              </w:rPr>
            </w:pPr>
            <w:r w:rsidRPr="0059268E">
              <w:rPr>
                <w:rFonts w:ascii="Arial" w:hAnsi="Arial" w:cs="Arial"/>
              </w:rPr>
              <w:t>41</w:t>
            </w:r>
          </w:p>
        </w:tc>
        <w:tc>
          <w:tcPr>
            <w:tcW w:w="1549" w:type="dxa"/>
          </w:tcPr>
          <w:p w:rsidR="00337616" w:rsidRPr="0059268E" w:rsidRDefault="00337616" w:rsidP="00337616">
            <w:pPr>
              <w:jc w:val="center"/>
              <w:rPr>
                <w:rFonts w:ascii="Arial" w:hAnsi="Arial" w:cs="Arial"/>
              </w:rPr>
            </w:pPr>
            <w:r w:rsidRPr="0059268E">
              <w:rPr>
                <w:rFonts w:ascii="Arial" w:hAnsi="Arial" w:cs="Arial"/>
              </w:rPr>
              <w:t>40</w:t>
            </w:r>
          </w:p>
        </w:tc>
        <w:tc>
          <w:tcPr>
            <w:tcW w:w="1285" w:type="dxa"/>
          </w:tcPr>
          <w:p w:rsidR="00337616" w:rsidRPr="0059268E" w:rsidRDefault="00337616" w:rsidP="00337616">
            <w:pPr>
              <w:jc w:val="center"/>
              <w:rPr>
                <w:rFonts w:ascii="Arial" w:hAnsi="Arial" w:cs="Arial"/>
              </w:rPr>
            </w:pPr>
            <w:r>
              <w:rPr>
                <w:rFonts w:ascii="Arial" w:hAnsi="Arial" w:cs="Arial"/>
              </w:rPr>
              <w:t>41</w:t>
            </w:r>
          </w:p>
        </w:tc>
        <w:tc>
          <w:tcPr>
            <w:tcW w:w="1285" w:type="dxa"/>
          </w:tcPr>
          <w:p w:rsidR="00337616" w:rsidRDefault="00337616" w:rsidP="00337616">
            <w:pPr>
              <w:jc w:val="center"/>
              <w:rPr>
                <w:rFonts w:ascii="Arial" w:hAnsi="Arial" w:cs="Arial"/>
              </w:rPr>
            </w:pPr>
            <w:r>
              <w:rPr>
                <w:rFonts w:ascii="Arial" w:hAnsi="Arial" w:cs="Arial"/>
              </w:rPr>
              <w:t>54</w:t>
            </w:r>
          </w:p>
        </w:tc>
        <w:tc>
          <w:tcPr>
            <w:tcW w:w="1285" w:type="dxa"/>
          </w:tcPr>
          <w:p w:rsidR="00337616" w:rsidRDefault="00337616" w:rsidP="00337616">
            <w:pPr>
              <w:jc w:val="center"/>
              <w:rPr>
                <w:rFonts w:ascii="Arial" w:hAnsi="Arial" w:cs="Arial"/>
              </w:rPr>
            </w:pPr>
            <w:r>
              <w:rPr>
                <w:rFonts w:ascii="Arial" w:hAnsi="Arial" w:cs="Arial"/>
              </w:rPr>
              <w:t>61</w:t>
            </w:r>
          </w:p>
        </w:tc>
        <w:tc>
          <w:tcPr>
            <w:tcW w:w="1250" w:type="dxa"/>
          </w:tcPr>
          <w:p w:rsidR="00337616" w:rsidRDefault="00337616" w:rsidP="00337616">
            <w:pPr>
              <w:jc w:val="center"/>
              <w:rPr>
                <w:rFonts w:ascii="Arial" w:hAnsi="Arial" w:cs="Arial"/>
              </w:rPr>
            </w:pPr>
            <w:r>
              <w:rPr>
                <w:rFonts w:ascii="Arial" w:hAnsi="Arial" w:cs="Arial"/>
              </w:rPr>
              <w:t>73</w:t>
            </w:r>
          </w:p>
        </w:tc>
        <w:tc>
          <w:tcPr>
            <w:tcW w:w="1250" w:type="dxa"/>
          </w:tcPr>
          <w:p w:rsidR="00337616" w:rsidRDefault="00BF5B3E" w:rsidP="00337616">
            <w:pPr>
              <w:jc w:val="center"/>
              <w:rPr>
                <w:rFonts w:ascii="Arial" w:hAnsi="Arial" w:cs="Arial"/>
              </w:rPr>
            </w:pPr>
            <w:r>
              <w:rPr>
                <w:rFonts w:ascii="Arial" w:hAnsi="Arial" w:cs="Arial"/>
              </w:rPr>
              <w:t>72</w:t>
            </w:r>
          </w:p>
        </w:tc>
      </w:tr>
    </w:tbl>
    <w:p w:rsidR="00337616" w:rsidRPr="0059268E" w:rsidRDefault="00337616" w:rsidP="00337616">
      <w:pPr>
        <w:rPr>
          <w:rFonts w:ascii="Arial" w:hAnsi="Arial" w:cs="Arial"/>
        </w:rPr>
      </w:pPr>
    </w:p>
    <w:p w:rsidR="00337616" w:rsidRDefault="00337616" w:rsidP="00337616">
      <w:pPr>
        <w:ind w:left="360"/>
        <w:rPr>
          <w:rFonts w:ascii="Arial" w:hAnsi="Arial" w:cs="Arial"/>
          <w:u w:val="single"/>
        </w:rPr>
      </w:pPr>
    </w:p>
    <w:p w:rsidR="00337616" w:rsidRPr="00D125B5" w:rsidRDefault="00337616" w:rsidP="00337616">
      <w:pPr>
        <w:ind w:left="360"/>
        <w:rPr>
          <w:rFonts w:ascii="Arial" w:hAnsi="Arial" w:cs="Arial"/>
          <w:sz w:val="24"/>
          <w:szCs w:val="24"/>
          <w:u w:val="single"/>
        </w:rPr>
      </w:pPr>
      <w:r w:rsidRPr="00D125B5">
        <w:rPr>
          <w:rFonts w:ascii="Arial" w:hAnsi="Arial" w:cs="Arial"/>
          <w:sz w:val="24"/>
          <w:szCs w:val="24"/>
          <w:u w:val="single"/>
        </w:rPr>
        <w:t>Local Context: Homelessness Prevention</w:t>
      </w:r>
    </w:p>
    <w:p w:rsidR="00337616" w:rsidRPr="00D125B5" w:rsidRDefault="00337616" w:rsidP="00337616">
      <w:pPr>
        <w:pStyle w:val="ListParagraph"/>
        <w:ind w:left="0"/>
        <w:rPr>
          <w:rFonts w:ascii="Arial" w:hAnsi="Arial" w:cs="Arial"/>
          <w:sz w:val="24"/>
          <w:szCs w:val="24"/>
        </w:rPr>
      </w:pPr>
    </w:p>
    <w:p w:rsidR="00337616" w:rsidRPr="00D125B5" w:rsidRDefault="00337616" w:rsidP="00337616">
      <w:pPr>
        <w:pStyle w:val="ListParagraph"/>
        <w:ind w:left="0"/>
        <w:jc w:val="both"/>
        <w:rPr>
          <w:rFonts w:ascii="Arial" w:hAnsi="Arial" w:cs="Arial"/>
          <w:sz w:val="24"/>
          <w:szCs w:val="24"/>
        </w:rPr>
      </w:pPr>
      <w:r w:rsidRPr="00D125B5">
        <w:rPr>
          <w:rFonts w:ascii="Arial" w:hAnsi="Arial" w:cs="Arial"/>
          <w:sz w:val="24"/>
          <w:szCs w:val="24"/>
        </w:rPr>
        <w:t>The number of cases successfully completed through the work of the homelessness prevention team has been steadily increasing since 2009 (see figure 1 below).  Staff resources have increased to cope with this, up from 1 specialist part time post in 2009 to 2 part time and 1 full time post in 2013 – however, permanent funding was only in place for the original part time post only, the remainder being time limited until March 2015. These posts are now permanent demonstrating corporate support for the effectiveness of homeless prevention. In addition to the specialist advisors, the housing advice officers also undertake prevention work with applicants approaching as homeless or threatened with homelessness. The priority is always to try and secure a person’s current home or assist them in moving to an alternative without the need for temporary accommodation or B&amp;B often with ongoing support provided from the local contracted provider of community based support, currently the organisation known as P3</w:t>
      </w:r>
      <w:r w:rsidRPr="00D125B5">
        <w:rPr>
          <w:rStyle w:val="FootnoteReference"/>
          <w:rFonts w:ascii="Arial" w:hAnsi="Arial" w:cs="Arial"/>
          <w:sz w:val="24"/>
          <w:szCs w:val="24"/>
        </w:rPr>
        <w:footnoteReference w:id="1"/>
      </w:r>
      <w:r w:rsidRPr="00D125B5">
        <w:rPr>
          <w:rFonts w:ascii="Arial" w:hAnsi="Arial" w:cs="Arial"/>
          <w:sz w:val="24"/>
          <w:szCs w:val="24"/>
        </w:rPr>
        <w:t xml:space="preserve">.   Preventing homelessness by giving financial help to access private sector tenancies had been dropping due to the widening gap between the Local Housing Allowance and rents. Rents have continued to rise while LHA rates have been frozen. A demand led market which means landlords and lettings agents can be very particular in who they will accept as </w:t>
      </w:r>
      <w:proofErr w:type="gramStart"/>
      <w:r w:rsidRPr="00D125B5">
        <w:rPr>
          <w:rFonts w:ascii="Arial" w:hAnsi="Arial" w:cs="Arial"/>
          <w:sz w:val="24"/>
          <w:szCs w:val="24"/>
        </w:rPr>
        <w:t>tenants,</w:t>
      </w:r>
      <w:proofErr w:type="gramEnd"/>
      <w:r w:rsidRPr="00D125B5">
        <w:rPr>
          <w:rFonts w:ascii="Arial" w:hAnsi="Arial" w:cs="Arial"/>
          <w:sz w:val="24"/>
          <w:szCs w:val="24"/>
        </w:rPr>
        <w:t xml:space="preserve"> and growing unease among private landlords at the implications of Universal Credit have added to the difficulty that households on low incomes face. (This problem has also prevented the council from using the powers given in the Localism Act 2011 to discharge the full homeless duty into private sector accommodation). We have taken action to stabilise the numbers by reassessing affordability limits on the household size, and making further payments to landlords to make the rent levels affordable. Tenants are then encouraged to take steps to increase income through employment, and manage debt through financial advice, so that tenancies are sustainable into the longer term and can be signposted to organisations such as the GEM Project and Citizen’s Advice for help with this. The Housing Advice Team’s focus on preventing homelessness, and willingness to consider all innovative and effective means of preventing homelessness led to Stroud being one of the highest performing councils in the southwest, and the highest performing council in Gloucestershire in preventing and relieving homelessness in 2017/18</w:t>
      </w:r>
      <w:r w:rsidR="00BF5B3E">
        <w:rPr>
          <w:rFonts w:ascii="Arial" w:hAnsi="Arial" w:cs="Arial"/>
          <w:sz w:val="24"/>
          <w:szCs w:val="24"/>
        </w:rPr>
        <w:t>.</w:t>
      </w:r>
    </w:p>
    <w:p w:rsidR="00337616" w:rsidRDefault="00337616" w:rsidP="00337616">
      <w:pPr>
        <w:pStyle w:val="ListParagraph"/>
        <w:ind w:left="0"/>
        <w:jc w:val="both"/>
        <w:rPr>
          <w:rFonts w:ascii="Arial" w:hAnsi="Arial" w:cs="Arial"/>
        </w:rPr>
      </w:pPr>
    </w:p>
    <w:p w:rsidR="00337616" w:rsidRDefault="00337616" w:rsidP="00337616">
      <w:pPr>
        <w:pStyle w:val="ListParagraph"/>
        <w:ind w:left="0"/>
        <w:jc w:val="both"/>
        <w:rPr>
          <w:rFonts w:ascii="Arial" w:hAnsi="Arial" w:cs="Arial"/>
        </w:rPr>
      </w:pPr>
    </w:p>
    <w:p w:rsidR="00337616" w:rsidRDefault="00337616" w:rsidP="00337616">
      <w:pPr>
        <w:pStyle w:val="ListParagraph"/>
        <w:ind w:left="0"/>
        <w:jc w:val="both"/>
        <w:rPr>
          <w:rFonts w:ascii="Arial" w:hAnsi="Arial" w:cs="Arial"/>
        </w:rPr>
      </w:pPr>
      <w:r>
        <w:rPr>
          <w:rFonts w:ascii="Arial" w:hAnsi="Arial" w:cs="Arial"/>
          <w:noProof/>
          <w:lang w:eastAsia="en-GB"/>
        </w:rPr>
        <w:drawing>
          <wp:inline distT="0" distB="0" distL="0" distR="0">
            <wp:extent cx="9236201" cy="5295900"/>
            <wp:effectExtent l="19050" t="0" r="3049"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9236201" cy="5295900"/>
                    </a:xfrm>
                    <a:prstGeom prst="rect">
                      <a:avLst/>
                    </a:prstGeom>
                    <a:noFill/>
                    <a:ln w="9525">
                      <a:noFill/>
                      <a:miter lim="800000"/>
                      <a:headEnd/>
                      <a:tailEnd/>
                    </a:ln>
                  </pic:spPr>
                </pic:pic>
              </a:graphicData>
            </a:graphic>
          </wp:inline>
        </w:drawing>
      </w:r>
    </w:p>
    <w:p w:rsidR="00337616" w:rsidRPr="001C4BF7" w:rsidRDefault="00337616" w:rsidP="00337616"/>
    <w:p w:rsidR="00337616" w:rsidRDefault="00337616" w:rsidP="00337616">
      <w:pPr>
        <w:rPr>
          <w:rFonts w:ascii="Arial" w:hAnsi="Arial" w:cs="Arial"/>
          <w:sz w:val="24"/>
          <w:szCs w:val="24"/>
        </w:rPr>
      </w:pPr>
      <w:r>
        <w:rPr>
          <w:rFonts w:ascii="Arial" w:hAnsi="Arial" w:cs="Arial"/>
          <w:sz w:val="24"/>
          <w:szCs w:val="24"/>
        </w:rPr>
        <w:t>The Housing Advice Team’s success in preventing and relieving homelessness has not come at a high financial cost. The following graph shows compares the council’s spend on homelessness compared to all other councils in the South West and demonstrates the cost effectiveness of the council’s homelessness service.</w:t>
      </w:r>
    </w:p>
    <w:p w:rsidR="00337616" w:rsidRPr="00026DDD" w:rsidRDefault="00337616" w:rsidP="00337616">
      <w:pPr>
        <w:rPr>
          <w:rFonts w:ascii="Arial" w:hAnsi="Arial" w:cs="Arial"/>
          <w:sz w:val="24"/>
          <w:szCs w:val="24"/>
        </w:rPr>
      </w:pPr>
      <w:r w:rsidRPr="00CC7A4D">
        <w:rPr>
          <w:rFonts w:ascii="Arial" w:hAnsi="Arial" w:cs="Arial"/>
          <w:noProof/>
          <w:sz w:val="24"/>
          <w:szCs w:val="24"/>
          <w:lang w:eastAsia="en-GB"/>
        </w:rPr>
        <w:drawing>
          <wp:inline distT="0" distB="0" distL="0" distR="0">
            <wp:extent cx="9039225" cy="5114925"/>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9039225" cy="5114925"/>
                    </a:xfrm>
                    <a:prstGeom prst="rect">
                      <a:avLst/>
                    </a:prstGeom>
                    <a:noFill/>
                    <a:ln w="9525">
                      <a:noFill/>
                      <a:miter lim="800000"/>
                      <a:headEnd/>
                      <a:tailEnd/>
                    </a:ln>
                  </pic:spPr>
                </pic:pic>
              </a:graphicData>
            </a:graphic>
          </wp:inline>
        </w:drawing>
      </w:r>
    </w:p>
    <w:p w:rsidR="00337616" w:rsidRDefault="00337616" w:rsidP="00337616">
      <w:pPr>
        <w:rPr>
          <w:rFonts w:ascii="Arial" w:hAnsi="Arial" w:cs="Arial"/>
          <w:b/>
          <w:i/>
          <w:sz w:val="24"/>
          <w:szCs w:val="24"/>
        </w:rPr>
      </w:pPr>
    </w:p>
    <w:p w:rsidR="00337616" w:rsidRDefault="00337616" w:rsidP="00337616">
      <w:pPr>
        <w:rPr>
          <w:rFonts w:ascii="Arial" w:hAnsi="Arial" w:cs="Arial"/>
          <w:b/>
          <w:i/>
          <w:sz w:val="24"/>
          <w:szCs w:val="24"/>
        </w:rPr>
      </w:pPr>
    </w:p>
    <w:p w:rsidR="00337616" w:rsidRDefault="00337616" w:rsidP="00337616">
      <w:pPr>
        <w:rPr>
          <w:rFonts w:ascii="Arial" w:hAnsi="Arial" w:cs="Arial"/>
          <w:b/>
          <w:i/>
          <w:sz w:val="24"/>
          <w:szCs w:val="24"/>
        </w:rPr>
      </w:pPr>
    </w:p>
    <w:p w:rsidR="00337616" w:rsidRDefault="00337616" w:rsidP="00337616">
      <w:pPr>
        <w:rPr>
          <w:rFonts w:ascii="Arial" w:hAnsi="Arial" w:cs="Arial"/>
          <w:b/>
          <w:i/>
          <w:sz w:val="24"/>
          <w:szCs w:val="24"/>
        </w:rPr>
      </w:pPr>
      <w:r w:rsidRPr="001343A7">
        <w:rPr>
          <w:rFonts w:ascii="Arial" w:hAnsi="Arial" w:cs="Arial"/>
          <w:b/>
          <w:i/>
          <w:sz w:val="24"/>
          <w:szCs w:val="24"/>
        </w:rPr>
        <w:t>Number of completed homelessn</w:t>
      </w:r>
      <w:r>
        <w:rPr>
          <w:rFonts w:ascii="Arial" w:hAnsi="Arial" w:cs="Arial"/>
          <w:b/>
          <w:i/>
          <w:sz w:val="24"/>
          <w:szCs w:val="24"/>
        </w:rPr>
        <w:t>ess prevention cases 2011/12 to 2017/18 per 1000 households.</w:t>
      </w:r>
    </w:p>
    <w:p w:rsidR="00337616" w:rsidRDefault="00337616" w:rsidP="00337616">
      <w:pPr>
        <w:rPr>
          <w:rFonts w:ascii="Arial" w:hAnsi="Arial" w:cs="Arial"/>
          <w:b/>
          <w:i/>
          <w:sz w:val="24"/>
          <w:szCs w:val="24"/>
        </w:rPr>
      </w:pPr>
    </w:p>
    <w:p w:rsidR="00337616" w:rsidRDefault="00337616" w:rsidP="00337616">
      <w:pPr>
        <w:jc w:val="center"/>
        <w:rPr>
          <w:rFonts w:ascii="Arial" w:hAnsi="Arial" w:cs="Arial"/>
          <w:b/>
          <w:i/>
          <w:sz w:val="24"/>
          <w:szCs w:val="24"/>
        </w:rPr>
      </w:pPr>
      <w:r>
        <w:rPr>
          <w:rFonts w:ascii="Arial" w:hAnsi="Arial" w:cs="Arial"/>
          <w:b/>
          <w:i/>
          <w:noProof/>
          <w:sz w:val="24"/>
          <w:szCs w:val="24"/>
          <w:lang w:eastAsia="en-GB"/>
        </w:rPr>
        <w:drawing>
          <wp:inline distT="0" distB="0" distL="0" distR="0">
            <wp:extent cx="5086350" cy="2857500"/>
            <wp:effectExtent l="19050" t="0" r="1905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37616" w:rsidRDefault="00337616" w:rsidP="00337616">
      <w:pPr>
        <w:jc w:val="center"/>
        <w:rPr>
          <w:rFonts w:ascii="Arial" w:hAnsi="Arial" w:cs="Arial"/>
          <w:sz w:val="24"/>
          <w:szCs w:val="24"/>
        </w:rPr>
      </w:pPr>
    </w:p>
    <w:p w:rsidR="000B41C0" w:rsidRPr="008B6581" w:rsidRDefault="00337616" w:rsidP="00337616">
      <w:pPr>
        <w:pStyle w:val="ListParagraph"/>
        <w:ind w:left="0"/>
        <w:jc w:val="both"/>
        <w:rPr>
          <w:rFonts w:ascii="Arial" w:hAnsi="Arial" w:cs="Arial"/>
          <w:sz w:val="24"/>
          <w:szCs w:val="24"/>
        </w:rPr>
      </w:pPr>
      <w:r w:rsidRPr="008B6581">
        <w:rPr>
          <w:rFonts w:ascii="Arial" w:hAnsi="Arial" w:cs="Arial"/>
          <w:sz w:val="24"/>
          <w:szCs w:val="24"/>
        </w:rPr>
        <w:t>Homeless preventions and reliefs have a new statutory reporting mechanism introduced along with the Homeless Reduction Act 2017. Full details have to be recorded onto the countywide IT system (</w:t>
      </w:r>
      <w:proofErr w:type="spellStart"/>
      <w:r w:rsidRPr="008B6581">
        <w:rPr>
          <w:rFonts w:ascii="Arial" w:hAnsi="Arial" w:cs="Arial"/>
          <w:sz w:val="24"/>
          <w:szCs w:val="24"/>
        </w:rPr>
        <w:t>Locata</w:t>
      </w:r>
      <w:proofErr w:type="spellEnd"/>
      <w:r w:rsidRPr="008B6581">
        <w:rPr>
          <w:rFonts w:ascii="Arial" w:hAnsi="Arial" w:cs="Arial"/>
          <w:sz w:val="24"/>
          <w:szCs w:val="24"/>
        </w:rPr>
        <w:t xml:space="preserve">) which then uploads directly onto the </w:t>
      </w:r>
      <w:proofErr w:type="gramStart"/>
      <w:r w:rsidRPr="008B6581">
        <w:rPr>
          <w:rFonts w:ascii="Arial" w:hAnsi="Arial" w:cs="Arial"/>
          <w:sz w:val="24"/>
          <w:szCs w:val="24"/>
        </w:rPr>
        <w:t>governments</w:t>
      </w:r>
      <w:proofErr w:type="gramEnd"/>
      <w:r w:rsidRPr="008B6581">
        <w:rPr>
          <w:rFonts w:ascii="Arial" w:hAnsi="Arial" w:cs="Arial"/>
          <w:sz w:val="24"/>
          <w:szCs w:val="24"/>
        </w:rPr>
        <w:t xml:space="preserve"> statutory reporting website, Delta. This means that preventions counted by our partner agencies, both internal and external, need to have their full details entered onto </w:t>
      </w:r>
      <w:proofErr w:type="spellStart"/>
      <w:r w:rsidRPr="008B6581">
        <w:rPr>
          <w:rFonts w:ascii="Arial" w:hAnsi="Arial" w:cs="Arial"/>
          <w:sz w:val="24"/>
          <w:szCs w:val="24"/>
        </w:rPr>
        <w:t>Locata</w:t>
      </w:r>
      <w:proofErr w:type="spellEnd"/>
      <w:r w:rsidRPr="008B6581">
        <w:rPr>
          <w:rFonts w:ascii="Arial" w:hAnsi="Arial" w:cs="Arial"/>
          <w:sz w:val="24"/>
          <w:szCs w:val="24"/>
        </w:rPr>
        <w:t xml:space="preserve">. Previously, we only needed to check that they met the criteria to be counted as prevention, and then provided a figure for the number of preventions. As we do not get enough details of individuals to enter onto </w:t>
      </w:r>
      <w:proofErr w:type="spellStart"/>
      <w:r w:rsidRPr="008B6581">
        <w:rPr>
          <w:rFonts w:ascii="Arial" w:hAnsi="Arial" w:cs="Arial"/>
          <w:sz w:val="24"/>
          <w:szCs w:val="24"/>
        </w:rPr>
        <w:t>Locata</w:t>
      </w:r>
      <w:proofErr w:type="spellEnd"/>
      <w:r w:rsidRPr="008B6581">
        <w:rPr>
          <w:rFonts w:ascii="Arial" w:hAnsi="Arial" w:cs="Arial"/>
          <w:sz w:val="24"/>
          <w:szCs w:val="24"/>
        </w:rPr>
        <w:t>, most of the preventions carried out by partner agencies have not been reported. It is therefore expected that the number of preventions as reported to central government will decrease significantly in 2018/19 compared to previous years.</w:t>
      </w:r>
    </w:p>
    <w:p w:rsidR="00C725D9" w:rsidRDefault="00C725D9" w:rsidP="00924DA1">
      <w:pPr>
        <w:rPr>
          <w:rFonts w:ascii="Arial" w:hAnsi="Arial" w:cs="Arial"/>
          <w:b/>
          <w:sz w:val="24"/>
          <w:szCs w:val="24"/>
          <w:u w:val="single"/>
        </w:rPr>
      </w:pPr>
      <w:bookmarkStart w:id="0" w:name="_GoBack"/>
      <w:bookmarkEnd w:id="0"/>
      <w:r>
        <w:rPr>
          <w:rFonts w:ascii="Arial" w:hAnsi="Arial" w:cs="Arial"/>
          <w:b/>
          <w:sz w:val="24"/>
          <w:szCs w:val="24"/>
          <w:u w:val="single"/>
        </w:rPr>
        <w:t>H</w:t>
      </w:r>
      <w:r w:rsidR="00DD195A">
        <w:rPr>
          <w:rFonts w:ascii="Arial" w:hAnsi="Arial" w:cs="Arial"/>
          <w:b/>
          <w:sz w:val="24"/>
          <w:szCs w:val="24"/>
          <w:u w:val="single"/>
        </w:rPr>
        <w:t>OMELESS PREVENTION STRATEGY</w:t>
      </w:r>
      <w:r>
        <w:rPr>
          <w:rFonts w:ascii="Arial" w:hAnsi="Arial" w:cs="Arial"/>
          <w:b/>
          <w:sz w:val="24"/>
          <w:szCs w:val="24"/>
          <w:u w:val="single"/>
        </w:rPr>
        <w:t>: How we will Achieve Outcomes</w:t>
      </w:r>
      <w:r w:rsidRPr="00D96E67">
        <w:rPr>
          <w:rFonts w:ascii="Arial" w:hAnsi="Arial" w:cs="Arial"/>
          <w:b/>
          <w:sz w:val="24"/>
          <w:szCs w:val="24"/>
          <w:highlight w:val="yellow"/>
          <w:u w:val="single"/>
        </w:rPr>
        <w:t>.</w:t>
      </w:r>
      <w:r>
        <w:rPr>
          <w:rFonts w:ascii="Arial" w:hAnsi="Arial" w:cs="Arial"/>
          <w:b/>
          <w:sz w:val="24"/>
          <w:szCs w:val="24"/>
          <w:highlight w:val="yellow"/>
          <w:u w:val="single"/>
        </w:rPr>
        <w:t xml:space="preserve"> </w:t>
      </w:r>
    </w:p>
    <w:p w:rsidR="00BF64AB" w:rsidRDefault="00BF64AB" w:rsidP="00BF64AB">
      <w:pPr>
        <w:rPr>
          <w:rFonts w:ascii="Arial" w:hAnsi="Arial" w:cs="Arial"/>
          <w:sz w:val="24"/>
          <w:szCs w:val="24"/>
        </w:rPr>
      </w:pPr>
      <w:r>
        <w:rPr>
          <w:rFonts w:ascii="Arial" w:hAnsi="Arial" w:cs="Arial"/>
          <w:sz w:val="24"/>
          <w:szCs w:val="24"/>
        </w:rPr>
        <w:t>The overall strategic aim is to prevent or relieve homelessness wherever possible. This has then been divided into specific areas identified by Working Group members as local priorities.  These include areas such as young people, rough sleeping and domestic abuse.</w:t>
      </w:r>
      <w:r w:rsidR="0056513C">
        <w:rPr>
          <w:rFonts w:ascii="Arial" w:hAnsi="Arial" w:cs="Arial"/>
          <w:sz w:val="24"/>
          <w:szCs w:val="24"/>
        </w:rPr>
        <w:t xml:space="preserve"> The local priorities are summarised in the table below:</w:t>
      </w:r>
    </w:p>
    <w:tbl>
      <w:tblPr>
        <w:tblStyle w:val="TableGrid"/>
        <w:tblW w:w="0" w:type="auto"/>
        <w:tblLook w:val="04A0"/>
      </w:tblPr>
      <w:tblGrid>
        <w:gridCol w:w="7381"/>
        <w:gridCol w:w="7382"/>
      </w:tblGrid>
      <w:tr w:rsidR="0056513C" w:rsidTr="001933E4">
        <w:tc>
          <w:tcPr>
            <w:tcW w:w="7381" w:type="dxa"/>
            <w:shd w:val="clear" w:color="auto" w:fill="8DB3E2" w:themeFill="text2" w:themeFillTint="66"/>
          </w:tcPr>
          <w:p w:rsidR="0056513C" w:rsidRPr="0056513C" w:rsidRDefault="0056513C" w:rsidP="00BF64AB">
            <w:pPr>
              <w:rPr>
                <w:rFonts w:ascii="Arial" w:hAnsi="Arial" w:cs="Arial"/>
                <w:b/>
                <w:sz w:val="24"/>
                <w:szCs w:val="24"/>
              </w:rPr>
            </w:pPr>
            <w:r>
              <w:rPr>
                <w:rFonts w:ascii="Arial" w:hAnsi="Arial" w:cs="Arial"/>
                <w:b/>
                <w:sz w:val="24"/>
                <w:szCs w:val="24"/>
              </w:rPr>
              <w:t>Priority.</w:t>
            </w:r>
          </w:p>
        </w:tc>
        <w:tc>
          <w:tcPr>
            <w:tcW w:w="7382" w:type="dxa"/>
            <w:shd w:val="clear" w:color="auto" w:fill="8DB3E2" w:themeFill="text2" w:themeFillTint="66"/>
          </w:tcPr>
          <w:p w:rsidR="0056513C" w:rsidRPr="0056513C" w:rsidRDefault="00493C46" w:rsidP="00493C46">
            <w:pPr>
              <w:rPr>
                <w:rFonts w:ascii="Arial" w:hAnsi="Arial" w:cs="Arial"/>
                <w:b/>
                <w:sz w:val="24"/>
                <w:szCs w:val="24"/>
              </w:rPr>
            </w:pPr>
            <w:r>
              <w:rPr>
                <w:rFonts w:ascii="Arial" w:hAnsi="Arial" w:cs="Arial"/>
                <w:b/>
                <w:sz w:val="24"/>
                <w:szCs w:val="24"/>
              </w:rPr>
              <w:t>Main  a</w:t>
            </w:r>
            <w:r w:rsidR="0056513C">
              <w:rPr>
                <w:rFonts w:ascii="Arial" w:hAnsi="Arial" w:cs="Arial"/>
                <w:b/>
                <w:sz w:val="24"/>
                <w:szCs w:val="24"/>
              </w:rPr>
              <w:t>ctivities to achieve priority</w:t>
            </w:r>
          </w:p>
        </w:tc>
      </w:tr>
      <w:tr w:rsidR="0056513C" w:rsidTr="00085948">
        <w:tc>
          <w:tcPr>
            <w:tcW w:w="7381" w:type="dxa"/>
            <w:shd w:val="clear" w:color="auto" w:fill="E5B8B7" w:themeFill="accent2" w:themeFillTint="66"/>
          </w:tcPr>
          <w:p w:rsidR="0056513C" w:rsidRPr="001933E4" w:rsidRDefault="001933E4" w:rsidP="00BF64AB">
            <w:pPr>
              <w:rPr>
                <w:rFonts w:ascii="Arial" w:hAnsi="Arial" w:cs="Arial"/>
                <w:sz w:val="24"/>
                <w:szCs w:val="24"/>
              </w:rPr>
            </w:pPr>
            <w:r w:rsidRPr="001933E4">
              <w:rPr>
                <w:rFonts w:ascii="Arial" w:hAnsi="Arial" w:cs="Arial"/>
                <w:sz w:val="24"/>
                <w:szCs w:val="24"/>
              </w:rPr>
              <w:t>Young people</w:t>
            </w:r>
          </w:p>
        </w:tc>
        <w:tc>
          <w:tcPr>
            <w:tcW w:w="7382" w:type="dxa"/>
            <w:shd w:val="clear" w:color="auto" w:fill="E5B8B7" w:themeFill="accent2" w:themeFillTint="66"/>
          </w:tcPr>
          <w:p w:rsidR="0056513C" w:rsidRDefault="00493C46" w:rsidP="00493C46">
            <w:pPr>
              <w:pStyle w:val="ListParagraph"/>
              <w:numPr>
                <w:ilvl w:val="0"/>
                <w:numId w:val="59"/>
              </w:numPr>
              <w:rPr>
                <w:rFonts w:ascii="Arial" w:hAnsi="Arial" w:cs="Arial"/>
                <w:sz w:val="24"/>
                <w:szCs w:val="24"/>
              </w:rPr>
            </w:pPr>
            <w:r>
              <w:rPr>
                <w:rFonts w:ascii="Arial" w:hAnsi="Arial" w:cs="Arial"/>
                <w:sz w:val="24"/>
                <w:szCs w:val="24"/>
              </w:rPr>
              <w:t>Continue working with partner agencies using tried and tested methods to achieve positive outcomes for young people faced with homelessness.</w:t>
            </w:r>
          </w:p>
          <w:p w:rsidR="00493C46" w:rsidRPr="00493C46" w:rsidRDefault="00493C46" w:rsidP="00493C46">
            <w:pPr>
              <w:pStyle w:val="ListParagraph"/>
              <w:numPr>
                <w:ilvl w:val="0"/>
                <w:numId w:val="59"/>
              </w:numPr>
              <w:rPr>
                <w:rFonts w:ascii="Arial" w:hAnsi="Arial" w:cs="Arial"/>
                <w:sz w:val="24"/>
                <w:szCs w:val="24"/>
              </w:rPr>
            </w:pPr>
            <w:r>
              <w:rPr>
                <w:rFonts w:ascii="Arial" w:hAnsi="Arial" w:cs="Arial"/>
                <w:sz w:val="24"/>
                <w:szCs w:val="24"/>
              </w:rPr>
              <w:t>To seek to develop an education project for schools with the aim of preventing homelessness</w:t>
            </w:r>
          </w:p>
        </w:tc>
      </w:tr>
      <w:tr w:rsidR="0056513C" w:rsidTr="0005353A">
        <w:tc>
          <w:tcPr>
            <w:tcW w:w="7381" w:type="dxa"/>
            <w:shd w:val="clear" w:color="auto" w:fill="8DB3E2" w:themeFill="text2" w:themeFillTint="66"/>
          </w:tcPr>
          <w:p w:rsidR="0056513C" w:rsidRDefault="001933E4" w:rsidP="00BF64AB">
            <w:pPr>
              <w:rPr>
                <w:rFonts w:ascii="Arial" w:hAnsi="Arial" w:cs="Arial"/>
                <w:sz w:val="24"/>
                <w:szCs w:val="24"/>
              </w:rPr>
            </w:pPr>
            <w:r>
              <w:rPr>
                <w:rFonts w:ascii="Arial" w:hAnsi="Arial" w:cs="Arial"/>
                <w:sz w:val="24"/>
                <w:szCs w:val="24"/>
              </w:rPr>
              <w:t>Older people</w:t>
            </w:r>
          </w:p>
        </w:tc>
        <w:tc>
          <w:tcPr>
            <w:tcW w:w="7382" w:type="dxa"/>
            <w:shd w:val="clear" w:color="auto" w:fill="8DB3E2" w:themeFill="text2" w:themeFillTint="66"/>
          </w:tcPr>
          <w:p w:rsidR="0056513C" w:rsidRDefault="00B31942" w:rsidP="00B31942">
            <w:pPr>
              <w:pStyle w:val="ListParagraph"/>
              <w:numPr>
                <w:ilvl w:val="0"/>
                <w:numId w:val="60"/>
              </w:numPr>
              <w:rPr>
                <w:rFonts w:ascii="Arial" w:hAnsi="Arial" w:cs="Arial"/>
                <w:sz w:val="24"/>
                <w:szCs w:val="24"/>
              </w:rPr>
            </w:pPr>
            <w:r>
              <w:rPr>
                <w:rFonts w:ascii="Arial" w:hAnsi="Arial" w:cs="Arial"/>
                <w:sz w:val="24"/>
                <w:szCs w:val="24"/>
              </w:rPr>
              <w:t>Supporting Tenant Services in development of the Older Person’s Housing Strategy</w:t>
            </w:r>
          </w:p>
          <w:p w:rsidR="00B31942" w:rsidRPr="00B31942" w:rsidRDefault="00B31942" w:rsidP="00B31942">
            <w:pPr>
              <w:pStyle w:val="ListParagraph"/>
              <w:numPr>
                <w:ilvl w:val="0"/>
                <w:numId w:val="60"/>
              </w:numPr>
              <w:rPr>
                <w:rFonts w:ascii="Arial" w:hAnsi="Arial" w:cs="Arial"/>
                <w:sz w:val="24"/>
                <w:szCs w:val="24"/>
              </w:rPr>
            </w:pPr>
            <w:r>
              <w:rPr>
                <w:rFonts w:ascii="Arial" w:hAnsi="Arial" w:cs="Arial"/>
                <w:sz w:val="24"/>
                <w:szCs w:val="24"/>
              </w:rPr>
              <w:t>Continue to develop closer relationships with health and wellbeing services to enable older people to remain in their own homes</w:t>
            </w:r>
          </w:p>
        </w:tc>
      </w:tr>
      <w:tr w:rsidR="0056513C" w:rsidTr="00B31942">
        <w:tc>
          <w:tcPr>
            <w:tcW w:w="7381" w:type="dxa"/>
            <w:shd w:val="clear" w:color="auto" w:fill="E5B8B7" w:themeFill="accent2" w:themeFillTint="66"/>
          </w:tcPr>
          <w:p w:rsidR="0056513C" w:rsidRDefault="001933E4" w:rsidP="00BF64AB">
            <w:pPr>
              <w:rPr>
                <w:rFonts w:ascii="Arial" w:hAnsi="Arial" w:cs="Arial"/>
                <w:sz w:val="24"/>
                <w:szCs w:val="24"/>
              </w:rPr>
            </w:pPr>
            <w:r>
              <w:rPr>
                <w:rFonts w:ascii="Arial" w:hAnsi="Arial" w:cs="Arial"/>
                <w:sz w:val="24"/>
                <w:szCs w:val="24"/>
              </w:rPr>
              <w:t>Health &amp; Wellbeing</w:t>
            </w:r>
          </w:p>
        </w:tc>
        <w:tc>
          <w:tcPr>
            <w:tcW w:w="7382" w:type="dxa"/>
            <w:shd w:val="clear" w:color="auto" w:fill="E5B8B7" w:themeFill="accent2" w:themeFillTint="66"/>
          </w:tcPr>
          <w:p w:rsidR="0056513C" w:rsidRPr="00645D13" w:rsidRDefault="006E3DB0" w:rsidP="00645D13">
            <w:pPr>
              <w:pStyle w:val="ListParagraph"/>
              <w:numPr>
                <w:ilvl w:val="0"/>
                <w:numId w:val="61"/>
              </w:numPr>
              <w:rPr>
                <w:rFonts w:ascii="Arial" w:hAnsi="Arial" w:cs="Arial"/>
                <w:sz w:val="24"/>
                <w:szCs w:val="24"/>
              </w:rPr>
            </w:pPr>
            <w:r>
              <w:rPr>
                <w:rFonts w:ascii="Arial" w:hAnsi="Arial" w:cs="Arial"/>
                <w:sz w:val="24"/>
                <w:szCs w:val="24"/>
              </w:rPr>
              <w:t>Continue to develop links with health and wellbeing services to provide suitable housing for those with medical needs</w:t>
            </w:r>
          </w:p>
        </w:tc>
      </w:tr>
      <w:tr w:rsidR="0056513C" w:rsidTr="006E3DB0">
        <w:tc>
          <w:tcPr>
            <w:tcW w:w="7381" w:type="dxa"/>
            <w:shd w:val="clear" w:color="auto" w:fill="8DB3E2" w:themeFill="text2" w:themeFillTint="66"/>
          </w:tcPr>
          <w:p w:rsidR="0056513C" w:rsidRDefault="001933E4" w:rsidP="00BF64AB">
            <w:pPr>
              <w:rPr>
                <w:rFonts w:ascii="Arial" w:hAnsi="Arial" w:cs="Arial"/>
                <w:sz w:val="24"/>
                <w:szCs w:val="24"/>
              </w:rPr>
            </w:pPr>
            <w:r>
              <w:rPr>
                <w:rFonts w:ascii="Arial" w:hAnsi="Arial" w:cs="Arial"/>
                <w:sz w:val="24"/>
                <w:szCs w:val="24"/>
              </w:rPr>
              <w:t>Temporary Accommodation</w:t>
            </w:r>
          </w:p>
        </w:tc>
        <w:tc>
          <w:tcPr>
            <w:tcW w:w="7382" w:type="dxa"/>
            <w:shd w:val="clear" w:color="auto" w:fill="8DB3E2" w:themeFill="text2" w:themeFillTint="66"/>
          </w:tcPr>
          <w:p w:rsidR="0056513C" w:rsidRPr="006E3DB0" w:rsidRDefault="006E3DB0" w:rsidP="006E3DB0">
            <w:pPr>
              <w:pStyle w:val="ListParagraph"/>
              <w:numPr>
                <w:ilvl w:val="0"/>
                <w:numId w:val="61"/>
              </w:numPr>
              <w:rPr>
                <w:rFonts w:ascii="Arial" w:hAnsi="Arial" w:cs="Arial"/>
                <w:sz w:val="24"/>
                <w:szCs w:val="24"/>
              </w:rPr>
            </w:pPr>
            <w:r>
              <w:rPr>
                <w:rFonts w:ascii="Arial" w:hAnsi="Arial" w:cs="Arial"/>
                <w:sz w:val="24"/>
                <w:szCs w:val="24"/>
              </w:rPr>
              <w:t>To increase the provision of high quality cost effective temporary accommodation to meet increasing demand.</w:t>
            </w:r>
          </w:p>
        </w:tc>
      </w:tr>
      <w:tr w:rsidR="0056513C" w:rsidTr="006E3DB0">
        <w:tc>
          <w:tcPr>
            <w:tcW w:w="7381" w:type="dxa"/>
            <w:shd w:val="clear" w:color="auto" w:fill="E5B8B7" w:themeFill="accent2" w:themeFillTint="66"/>
          </w:tcPr>
          <w:p w:rsidR="0056513C" w:rsidRDefault="001933E4" w:rsidP="00BF64AB">
            <w:pPr>
              <w:rPr>
                <w:rFonts w:ascii="Arial" w:hAnsi="Arial" w:cs="Arial"/>
                <w:sz w:val="24"/>
                <w:szCs w:val="24"/>
              </w:rPr>
            </w:pPr>
            <w:r>
              <w:rPr>
                <w:rFonts w:ascii="Arial" w:hAnsi="Arial" w:cs="Arial"/>
                <w:sz w:val="24"/>
                <w:szCs w:val="24"/>
              </w:rPr>
              <w:t>Rough Sleeping</w:t>
            </w:r>
          </w:p>
        </w:tc>
        <w:tc>
          <w:tcPr>
            <w:tcW w:w="7382" w:type="dxa"/>
            <w:shd w:val="clear" w:color="auto" w:fill="E5B8B7" w:themeFill="accent2" w:themeFillTint="66"/>
          </w:tcPr>
          <w:p w:rsidR="0056513C" w:rsidRPr="006E3DB0" w:rsidRDefault="006E3DB0" w:rsidP="006E3DB0">
            <w:pPr>
              <w:pStyle w:val="ListParagraph"/>
              <w:numPr>
                <w:ilvl w:val="0"/>
                <w:numId w:val="61"/>
              </w:numPr>
              <w:rPr>
                <w:rFonts w:ascii="Arial" w:hAnsi="Arial" w:cs="Arial"/>
                <w:sz w:val="24"/>
                <w:szCs w:val="24"/>
              </w:rPr>
            </w:pPr>
            <w:r>
              <w:rPr>
                <w:rFonts w:ascii="Arial" w:hAnsi="Arial" w:cs="Arial"/>
                <w:sz w:val="24"/>
                <w:szCs w:val="24"/>
              </w:rPr>
              <w:t>To support countywide initiatives to meet the government’s targets to reduce and then end rough sleeping.</w:t>
            </w:r>
          </w:p>
        </w:tc>
      </w:tr>
      <w:tr w:rsidR="001933E4" w:rsidTr="006E3DB0">
        <w:tc>
          <w:tcPr>
            <w:tcW w:w="7381" w:type="dxa"/>
            <w:shd w:val="clear" w:color="auto" w:fill="8DB3E2" w:themeFill="text2" w:themeFillTint="66"/>
          </w:tcPr>
          <w:p w:rsidR="001933E4" w:rsidRDefault="001933E4" w:rsidP="00BF64AB">
            <w:pPr>
              <w:rPr>
                <w:rFonts w:ascii="Arial" w:hAnsi="Arial" w:cs="Arial"/>
                <w:sz w:val="24"/>
                <w:szCs w:val="24"/>
              </w:rPr>
            </w:pPr>
            <w:r>
              <w:rPr>
                <w:rFonts w:ascii="Arial" w:hAnsi="Arial" w:cs="Arial"/>
                <w:sz w:val="24"/>
                <w:szCs w:val="24"/>
              </w:rPr>
              <w:t>Domestic Abuse</w:t>
            </w:r>
          </w:p>
        </w:tc>
        <w:tc>
          <w:tcPr>
            <w:tcW w:w="7382" w:type="dxa"/>
            <w:shd w:val="clear" w:color="auto" w:fill="8DB3E2" w:themeFill="text2" w:themeFillTint="66"/>
          </w:tcPr>
          <w:p w:rsidR="001933E4" w:rsidRPr="006E3DB0" w:rsidRDefault="00C33C55" w:rsidP="006E3DB0">
            <w:pPr>
              <w:pStyle w:val="ListParagraph"/>
              <w:numPr>
                <w:ilvl w:val="0"/>
                <w:numId w:val="61"/>
              </w:numPr>
              <w:rPr>
                <w:rFonts w:ascii="Arial" w:hAnsi="Arial" w:cs="Arial"/>
                <w:sz w:val="24"/>
                <w:szCs w:val="24"/>
              </w:rPr>
            </w:pPr>
            <w:r>
              <w:rPr>
                <w:rFonts w:ascii="Arial" w:hAnsi="Arial" w:cs="Arial"/>
                <w:sz w:val="24"/>
                <w:szCs w:val="24"/>
              </w:rPr>
              <w:t xml:space="preserve">To work with voluntary and statutory agencies to </w:t>
            </w:r>
            <w:r w:rsidR="00ED31F4">
              <w:rPr>
                <w:rFonts w:ascii="Arial" w:hAnsi="Arial" w:cs="Arial"/>
                <w:sz w:val="24"/>
                <w:szCs w:val="24"/>
              </w:rPr>
              <w:t>enable victims to stay safely in their own homes or move to alternative safe accommodation.</w:t>
            </w:r>
          </w:p>
        </w:tc>
      </w:tr>
    </w:tbl>
    <w:p w:rsidR="0056513C" w:rsidRPr="00D02D67" w:rsidRDefault="0056513C" w:rsidP="00BF64AB">
      <w:pPr>
        <w:rPr>
          <w:rFonts w:ascii="Arial" w:hAnsi="Arial" w:cs="Arial"/>
          <w:sz w:val="24"/>
          <w:szCs w:val="24"/>
        </w:rPr>
      </w:pPr>
    </w:p>
    <w:p w:rsidR="00BF64AB" w:rsidRDefault="00BF64AB" w:rsidP="00C725D9">
      <w:pPr>
        <w:jc w:val="center"/>
        <w:rPr>
          <w:rFonts w:ascii="Arial" w:hAnsi="Arial" w:cs="Arial"/>
          <w:b/>
          <w:sz w:val="24"/>
          <w:szCs w:val="24"/>
          <w:u w:val="single"/>
        </w:rPr>
      </w:pPr>
    </w:p>
    <w:p w:rsidR="00351180" w:rsidRDefault="00C725D9" w:rsidP="00C725D9">
      <w:pPr>
        <w:rPr>
          <w:rFonts w:ascii="Arial" w:hAnsi="Arial" w:cs="Arial"/>
          <w:sz w:val="24"/>
          <w:szCs w:val="24"/>
        </w:rPr>
      </w:pPr>
      <w:r>
        <w:rPr>
          <w:rFonts w:ascii="Arial" w:hAnsi="Arial" w:cs="Arial"/>
          <w:sz w:val="24"/>
          <w:szCs w:val="24"/>
        </w:rPr>
        <w:t>The previous strategy was reviewed annually and changes based on what worked. This Strategy is a combination of what we already do that works well along with new initiatives developed to help prevent homelessness. It will form the basis of the action plan to be formalised following the outcome of consultation on the strategy. This Strategy will also be reviewed annually, but the Action Plan will be a live document, being updated as results are achieved and to reflect any changes in legislation.</w:t>
      </w:r>
    </w:p>
    <w:p w:rsidR="00C725D9" w:rsidRDefault="00C725D9" w:rsidP="00C725D9">
      <w:pPr>
        <w:rPr>
          <w:rFonts w:ascii="Arial" w:hAnsi="Arial" w:cs="Arial"/>
          <w:sz w:val="24"/>
          <w:szCs w:val="24"/>
          <w:u w:val="single"/>
        </w:rPr>
      </w:pPr>
    </w:p>
    <w:p w:rsidR="00C725D9" w:rsidRDefault="00C725D9" w:rsidP="00C725D9">
      <w:pPr>
        <w:rPr>
          <w:rFonts w:ascii="Arial" w:hAnsi="Arial" w:cs="Arial"/>
          <w:sz w:val="24"/>
          <w:szCs w:val="24"/>
          <w:u w:val="single"/>
        </w:rPr>
      </w:pPr>
      <w:r>
        <w:rPr>
          <w:rFonts w:ascii="Arial" w:hAnsi="Arial" w:cs="Arial"/>
          <w:sz w:val="24"/>
          <w:szCs w:val="24"/>
          <w:u w:val="single"/>
        </w:rPr>
        <w:t>Prevention and Relief: Methods.</w:t>
      </w:r>
    </w:p>
    <w:p w:rsidR="00C725D9" w:rsidRDefault="00C725D9" w:rsidP="00C725D9">
      <w:pPr>
        <w:rPr>
          <w:rFonts w:ascii="Arial" w:hAnsi="Arial" w:cs="Arial"/>
          <w:b/>
          <w:sz w:val="24"/>
          <w:szCs w:val="24"/>
          <w:u w:val="single"/>
        </w:rPr>
      </w:pPr>
    </w:p>
    <w:p w:rsidR="00C725D9" w:rsidRPr="0067462E" w:rsidRDefault="00C725D9" w:rsidP="00C725D9">
      <w:pPr>
        <w:autoSpaceDE w:val="0"/>
        <w:autoSpaceDN w:val="0"/>
        <w:adjustRightInd w:val="0"/>
        <w:spacing w:after="0" w:line="240" w:lineRule="auto"/>
        <w:jc w:val="both"/>
        <w:rPr>
          <w:rFonts w:ascii="Arial" w:hAnsi="Arial" w:cs="Arial"/>
          <w:sz w:val="24"/>
          <w:szCs w:val="24"/>
        </w:rPr>
      </w:pPr>
      <w:r w:rsidRPr="0067462E">
        <w:rPr>
          <w:rFonts w:ascii="Arial" w:hAnsi="Arial" w:cs="Arial"/>
          <w:sz w:val="24"/>
          <w:szCs w:val="24"/>
        </w:rPr>
        <w:t>The range of work carried out by the homelessness prevention team has also broadened over the last few years and we now offer:</w:t>
      </w:r>
    </w:p>
    <w:p w:rsidR="00C725D9" w:rsidRPr="0067462E" w:rsidRDefault="00C725D9" w:rsidP="00C725D9">
      <w:pPr>
        <w:autoSpaceDE w:val="0"/>
        <w:autoSpaceDN w:val="0"/>
        <w:adjustRightInd w:val="0"/>
        <w:spacing w:after="0" w:line="240" w:lineRule="auto"/>
        <w:jc w:val="both"/>
        <w:rPr>
          <w:rFonts w:ascii="Arial" w:hAnsi="Arial" w:cs="Arial"/>
          <w:sz w:val="24"/>
          <w:szCs w:val="24"/>
        </w:rPr>
      </w:pPr>
    </w:p>
    <w:p w:rsidR="00C725D9" w:rsidRPr="0067462E" w:rsidRDefault="00C725D9" w:rsidP="00C725D9">
      <w:pPr>
        <w:pStyle w:val="ListParagraph"/>
        <w:numPr>
          <w:ilvl w:val="0"/>
          <w:numId w:val="14"/>
        </w:numPr>
        <w:autoSpaceDE w:val="0"/>
        <w:autoSpaceDN w:val="0"/>
        <w:adjustRightInd w:val="0"/>
        <w:spacing w:after="0" w:line="240" w:lineRule="auto"/>
        <w:rPr>
          <w:rFonts w:ascii="Arial" w:hAnsi="Arial" w:cs="Arial"/>
          <w:sz w:val="24"/>
          <w:szCs w:val="24"/>
        </w:rPr>
      </w:pPr>
      <w:r w:rsidRPr="0067462E">
        <w:rPr>
          <w:rFonts w:ascii="Arial" w:hAnsi="Arial" w:cs="Arial"/>
          <w:sz w:val="24"/>
          <w:szCs w:val="24"/>
        </w:rPr>
        <w:t>Grants for deposits and agency fees to access private rented homes</w:t>
      </w:r>
    </w:p>
    <w:p w:rsidR="00C725D9" w:rsidRPr="0067462E" w:rsidRDefault="00C725D9" w:rsidP="00C725D9">
      <w:pPr>
        <w:pStyle w:val="ListParagraph"/>
        <w:numPr>
          <w:ilvl w:val="0"/>
          <w:numId w:val="14"/>
        </w:numPr>
        <w:autoSpaceDE w:val="0"/>
        <w:autoSpaceDN w:val="0"/>
        <w:adjustRightInd w:val="0"/>
        <w:spacing w:after="0" w:line="240" w:lineRule="auto"/>
        <w:rPr>
          <w:rFonts w:ascii="Arial" w:hAnsi="Arial" w:cs="Arial"/>
          <w:sz w:val="24"/>
          <w:szCs w:val="24"/>
        </w:rPr>
      </w:pPr>
      <w:r w:rsidRPr="0067462E">
        <w:rPr>
          <w:rFonts w:ascii="Arial" w:hAnsi="Arial" w:cs="Arial"/>
          <w:sz w:val="24"/>
          <w:szCs w:val="24"/>
        </w:rPr>
        <w:t>Counselling for young people and their families</w:t>
      </w:r>
    </w:p>
    <w:p w:rsidR="00C725D9" w:rsidRPr="0067462E" w:rsidRDefault="00C725D9" w:rsidP="00C725D9">
      <w:pPr>
        <w:pStyle w:val="ListParagraph"/>
        <w:numPr>
          <w:ilvl w:val="0"/>
          <w:numId w:val="14"/>
        </w:numPr>
        <w:autoSpaceDE w:val="0"/>
        <w:autoSpaceDN w:val="0"/>
        <w:adjustRightInd w:val="0"/>
        <w:spacing w:after="0" w:line="240" w:lineRule="auto"/>
        <w:rPr>
          <w:rFonts w:ascii="Arial" w:hAnsi="Arial" w:cs="Arial"/>
          <w:sz w:val="24"/>
          <w:szCs w:val="24"/>
        </w:rPr>
      </w:pPr>
      <w:r w:rsidRPr="0067462E">
        <w:rPr>
          <w:rFonts w:ascii="Arial" w:hAnsi="Arial" w:cs="Arial"/>
          <w:sz w:val="24"/>
          <w:szCs w:val="24"/>
        </w:rPr>
        <w:t>Counselling for couples</w:t>
      </w:r>
    </w:p>
    <w:p w:rsidR="00C725D9" w:rsidRPr="0067462E" w:rsidRDefault="00C725D9" w:rsidP="00C725D9">
      <w:pPr>
        <w:pStyle w:val="ListParagraph"/>
        <w:numPr>
          <w:ilvl w:val="0"/>
          <w:numId w:val="14"/>
        </w:numPr>
        <w:autoSpaceDE w:val="0"/>
        <w:autoSpaceDN w:val="0"/>
        <w:adjustRightInd w:val="0"/>
        <w:spacing w:after="0" w:line="240" w:lineRule="auto"/>
        <w:rPr>
          <w:rFonts w:ascii="Arial" w:hAnsi="Arial" w:cs="Arial"/>
          <w:sz w:val="24"/>
          <w:szCs w:val="24"/>
        </w:rPr>
      </w:pPr>
      <w:r w:rsidRPr="0067462E">
        <w:rPr>
          <w:rFonts w:ascii="Arial" w:hAnsi="Arial" w:cs="Arial"/>
          <w:sz w:val="24"/>
          <w:szCs w:val="24"/>
        </w:rPr>
        <w:t>Sanctuary scheme for victims of domestic abuse to enable them to remain in their homes safely</w:t>
      </w:r>
    </w:p>
    <w:p w:rsidR="00C725D9" w:rsidRPr="0067462E" w:rsidRDefault="00C725D9" w:rsidP="00C725D9">
      <w:pPr>
        <w:pStyle w:val="ListParagraph"/>
        <w:numPr>
          <w:ilvl w:val="0"/>
          <w:numId w:val="14"/>
        </w:numPr>
        <w:autoSpaceDE w:val="0"/>
        <w:autoSpaceDN w:val="0"/>
        <w:adjustRightInd w:val="0"/>
        <w:spacing w:after="0" w:line="240" w:lineRule="auto"/>
        <w:rPr>
          <w:rFonts w:ascii="Arial" w:hAnsi="Arial" w:cs="Arial"/>
          <w:sz w:val="24"/>
          <w:szCs w:val="24"/>
        </w:rPr>
      </w:pPr>
      <w:r w:rsidRPr="0067462E">
        <w:rPr>
          <w:rFonts w:ascii="Arial" w:hAnsi="Arial" w:cs="Arial"/>
          <w:sz w:val="24"/>
          <w:szCs w:val="24"/>
        </w:rPr>
        <w:t>Double deposit payments for landlords in lieu of guarantors</w:t>
      </w:r>
    </w:p>
    <w:p w:rsidR="00C725D9" w:rsidRPr="0067462E" w:rsidRDefault="00C725D9" w:rsidP="00C725D9">
      <w:pPr>
        <w:pStyle w:val="ListParagraph"/>
        <w:numPr>
          <w:ilvl w:val="0"/>
          <w:numId w:val="14"/>
        </w:numPr>
        <w:autoSpaceDE w:val="0"/>
        <w:autoSpaceDN w:val="0"/>
        <w:adjustRightInd w:val="0"/>
        <w:spacing w:after="0" w:line="240" w:lineRule="auto"/>
        <w:rPr>
          <w:rFonts w:ascii="Arial" w:hAnsi="Arial" w:cs="Arial"/>
          <w:sz w:val="24"/>
          <w:szCs w:val="24"/>
        </w:rPr>
      </w:pPr>
      <w:r w:rsidRPr="0067462E">
        <w:rPr>
          <w:rFonts w:ascii="Arial" w:hAnsi="Arial" w:cs="Arial"/>
          <w:sz w:val="24"/>
          <w:szCs w:val="24"/>
        </w:rPr>
        <w:t>Support for people leaving hospital after crisis to secure suitable accommodation if they cannot go back to their previous home</w:t>
      </w:r>
    </w:p>
    <w:p w:rsidR="00C725D9" w:rsidRPr="0067462E" w:rsidRDefault="00C725D9" w:rsidP="00C725D9">
      <w:pPr>
        <w:pStyle w:val="ListParagraph"/>
        <w:numPr>
          <w:ilvl w:val="0"/>
          <w:numId w:val="14"/>
        </w:numPr>
        <w:autoSpaceDE w:val="0"/>
        <w:autoSpaceDN w:val="0"/>
        <w:adjustRightInd w:val="0"/>
        <w:spacing w:after="0" w:line="240" w:lineRule="auto"/>
        <w:rPr>
          <w:rFonts w:ascii="Arial" w:hAnsi="Arial" w:cs="Arial"/>
          <w:sz w:val="24"/>
          <w:szCs w:val="24"/>
        </w:rPr>
      </w:pPr>
      <w:r w:rsidRPr="0067462E">
        <w:rPr>
          <w:rFonts w:ascii="Arial" w:hAnsi="Arial" w:cs="Arial"/>
          <w:sz w:val="24"/>
          <w:szCs w:val="24"/>
        </w:rPr>
        <w:t>Support to access Discretionary Housing Payments and the financing of a specialist debt advice worker in Stroud Citizens Advice</w:t>
      </w:r>
    </w:p>
    <w:p w:rsidR="00C725D9" w:rsidRPr="0067462E" w:rsidRDefault="00C725D9" w:rsidP="00C725D9">
      <w:pPr>
        <w:pStyle w:val="ListParagraph"/>
        <w:numPr>
          <w:ilvl w:val="0"/>
          <w:numId w:val="14"/>
        </w:numPr>
        <w:autoSpaceDE w:val="0"/>
        <w:autoSpaceDN w:val="0"/>
        <w:adjustRightInd w:val="0"/>
        <w:spacing w:after="0" w:line="240" w:lineRule="auto"/>
        <w:rPr>
          <w:rFonts w:ascii="Arial" w:hAnsi="Arial" w:cs="Arial"/>
          <w:sz w:val="24"/>
          <w:szCs w:val="24"/>
        </w:rPr>
      </w:pPr>
      <w:r w:rsidRPr="0067462E">
        <w:rPr>
          <w:rFonts w:ascii="Arial" w:hAnsi="Arial" w:cs="Arial"/>
          <w:sz w:val="24"/>
          <w:szCs w:val="24"/>
        </w:rPr>
        <w:t>Provision of rent guarantee insurance</w:t>
      </w:r>
    </w:p>
    <w:p w:rsidR="00C725D9" w:rsidRPr="0067462E" w:rsidRDefault="00C725D9" w:rsidP="00C725D9">
      <w:pPr>
        <w:pStyle w:val="ListParagraph"/>
        <w:numPr>
          <w:ilvl w:val="0"/>
          <w:numId w:val="14"/>
        </w:numPr>
        <w:autoSpaceDE w:val="0"/>
        <w:autoSpaceDN w:val="0"/>
        <w:adjustRightInd w:val="0"/>
        <w:spacing w:after="0" w:line="240" w:lineRule="auto"/>
        <w:rPr>
          <w:rFonts w:ascii="Arial" w:hAnsi="Arial" w:cs="Arial"/>
          <w:sz w:val="24"/>
          <w:szCs w:val="24"/>
        </w:rPr>
      </w:pPr>
      <w:r w:rsidRPr="0067462E">
        <w:rPr>
          <w:rFonts w:ascii="Arial" w:hAnsi="Arial" w:cs="Arial"/>
          <w:sz w:val="24"/>
          <w:szCs w:val="24"/>
        </w:rPr>
        <w:t>Payment of rent arrears to secure a tenancy at risk (where extenuating circumstances have resulted in arrears)</w:t>
      </w:r>
    </w:p>
    <w:p w:rsidR="00C725D9" w:rsidRPr="0067462E" w:rsidRDefault="00C725D9" w:rsidP="00C725D9">
      <w:pPr>
        <w:pStyle w:val="ListParagraph"/>
        <w:numPr>
          <w:ilvl w:val="0"/>
          <w:numId w:val="14"/>
        </w:numPr>
        <w:autoSpaceDE w:val="0"/>
        <w:autoSpaceDN w:val="0"/>
        <w:adjustRightInd w:val="0"/>
        <w:spacing w:after="0" w:line="240" w:lineRule="auto"/>
        <w:rPr>
          <w:rFonts w:ascii="Arial" w:hAnsi="Arial" w:cs="Arial"/>
          <w:sz w:val="24"/>
          <w:szCs w:val="24"/>
        </w:rPr>
      </w:pPr>
      <w:r w:rsidRPr="0067462E">
        <w:rPr>
          <w:rFonts w:ascii="Arial" w:hAnsi="Arial" w:cs="Arial"/>
          <w:sz w:val="24"/>
          <w:szCs w:val="24"/>
        </w:rPr>
        <w:t>Referrals to specialist community based housing support through Supporting People contracted provider P3</w:t>
      </w:r>
    </w:p>
    <w:p w:rsidR="00C725D9" w:rsidRPr="0067462E" w:rsidRDefault="00C725D9" w:rsidP="00C725D9">
      <w:pPr>
        <w:pStyle w:val="ListParagraph"/>
        <w:numPr>
          <w:ilvl w:val="0"/>
          <w:numId w:val="14"/>
        </w:numPr>
        <w:rPr>
          <w:rFonts w:ascii="Arial" w:hAnsi="Arial" w:cs="Arial"/>
          <w:sz w:val="24"/>
          <w:szCs w:val="24"/>
        </w:rPr>
      </w:pPr>
      <w:r w:rsidRPr="0067462E">
        <w:rPr>
          <w:rFonts w:ascii="Arial" w:hAnsi="Arial" w:cs="Arial"/>
          <w:sz w:val="24"/>
          <w:szCs w:val="24"/>
        </w:rPr>
        <w:t>Renegotiation fee to bring rents in line with Local Housing Allowance rates</w:t>
      </w:r>
    </w:p>
    <w:p w:rsidR="00C725D9" w:rsidRPr="0067462E" w:rsidRDefault="00C725D9" w:rsidP="00C725D9">
      <w:pPr>
        <w:pStyle w:val="ListParagraph"/>
        <w:numPr>
          <w:ilvl w:val="0"/>
          <w:numId w:val="14"/>
        </w:numPr>
        <w:rPr>
          <w:rFonts w:ascii="Arial" w:hAnsi="Arial" w:cs="Arial"/>
          <w:sz w:val="24"/>
          <w:szCs w:val="24"/>
        </w:rPr>
      </w:pPr>
      <w:r w:rsidRPr="0067462E">
        <w:rPr>
          <w:rFonts w:ascii="Arial" w:hAnsi="Arial" w:cs="Arial"/>
          <w:sz w:val="24"/>
          <w:szCs w:val="24"/>
        </w:rPr>
        <w:t>Paying for other solutions to tenancy breakdown e.g. clearing garden/property; sound insulation etc.</w:t>
      </w:r>
    </w:p>
    <w:p w:rsidR="00C725D9" w:rsidRPr="0067462E" w:rsidRDefault="00C725D9" w:rsidP="00C725D9">
      <w:pPr>
        <w:pStyle w:val="ListParagraph"/>
        <w:numPr>
          <w:ilvl w:val="0"/>
          <w:numId w:val="14"/>
        </w:numPr>
        <w:rPr>
          <w:rFonts w:ascii="Arial" w:hAnsi="Arial" w:cs="Arial"/>
          <w:sz w:val="24"/>
          <w:szCs w:val="24"/>
        </w:rPr>
      </w:pPr>
      <w:r w:rsidRPr="0067462E">
        <w:rPr>
          <w:rFonts w:ascii="Arial" w:hAnsi="Arial" w:cs="Arial"/>
          <w:sz w:val="24"/>
          <w:szCs w:val="24"/>
        </w:rPr>
        <w:t>Setting up direct payment of Housing Benefit/Universal Credit</w:t>
      </w:r>
    </w:p>
    <w:p w:rsidR="00C725D9" w:rsidRPr="0067462E" w:rsidRDefault="00C725D9" w:rsidP="00C725D9">
      <w:pPr>
        <w:pStyle w:val="ListParagraph"/>
        <w:numPr>
          <w:ilvl w:val="0"/>
          <w:numId w:val="14"/>
        </w:numPr>
        <w:rPr>
          <w:rFonts w:ascii="Arial" w:hAnsi="Arial" w:cs="Arial"/>
          <w:sz w:val="24"/>
          <w:szCs w:val="24"/>
        </w:rPr>
      </w:pPr>
      <w:r w:rsidRPr="0067462E">
        <w:rPr>
          <w:rFonts w:ascii="Arial" w:hAnsi="Arial" w:cs="Arial"/>
          <w:sz w:val="24"/>
          <w:szCs w:val="24"/>
        </w:rPr>
        <w:t>Training to support organisations to ensure accurate advice is given at the earliest opportunity and that the organisations are aware of the help available from the Housing Advice Team</w:t>
      </w:r>
    </w:p>
    <w:p w:rsidR="00C725D9" w:rsidRPr="0067462E" w:rsidRDefault="00C725D9" w:rsidP="00C725D9">
      <w:pPr>
        <w:pStyle w:val="ListParagraph"/>
        <w:numPr>
          <w:ilvl w:val="0"/>
          <w:numId w:val="14"/>
        </w:numPr>
        <w:rPr>
          <w:rFonts w:ascii="Arial" w:hAnsi="Arial" w:cs="Arial"/>
          <w:sz w:val="24"/>
          <w:szCs w:val="24"/>
        </w:rPr>
      </w:pPr>
      <w:r w:rsidRPr="0067462E">
        <w:rPr>
          <w:rFonts w:ascii="Arial" w:hAnsi="Arial" w:cs="Arial"/>
          <w:sz w:val="24"/>
          <w:szCs w:val="24"/>
        </w:rPr>
        <w:t>Outreach advice sessions at partner agency locations</w:t>
      </w:r>
    </w:p>
    <w:p w:rsidR="00C725D9" w:rsidRPr="0067462E" w:rsidRDefault="00C725D9" w:rsidP="00C725D9">
      <w:pPr>
        <w:pStyle w:val="ListParagraph"/>
        <w:numPr>
          <w:ilvl w:val="0"/>
          <w:numId w:val="14"/>
        </w:numPr>
        <w:rPr>
          <w:rFonts w:ascii="Arial" w:hAnsi="Arial" w:cs="Arial"/>
          <w:sz w:val="24"/>
          <w:szCs w:val="24"/>
        </w:rPr>
      </w:pPr>
      <w:r w:rsidRPr="0067462E">
        <w:rPr>
          <w:rFonts w:ascii="Arial" w:hAnsi="Arial" w:cs="Arial"/>
          <w:sz w:val="24"/>
          <w:szCs w:val="24"/>
        </w:rPr>
        <w:t>Collaborating on a countywide basis to bid for central government funding to provide prevention and relief services</w:t>
      </w:r>
    </w:p>
    <w:p w:rsidR="00C725D9" w:rsidRPr="0067462E" w:rsidRDefault="00C725D9" w:rsidP="00C725D9">
      <w:pPr>
        <w:autoSpaceDE w:val="0"/>
        <w:autoSpaceDN w:val="0"/>
        <w:adjustRightInd w:val="0"/>
        <w:spacing w:after="0" w:line="240" w:lineRule="auto"/>
        <w:jc w:val="both"/>
        <w:rPr>
          <w:rFonts w:ascii="Arial" w:hAnsi="Arial" w:cs="Arial"/>
          <w:sz w:val="24"/>
          <w:szCs w:val="24"/>
        </w:rPr>
      </w:pPr>
      <w:r w:rsidRPr="0067462E">
        <w:rPr>
          <w:rFonts w:ascii="Arial" w:hAnsi="Arial" w:cs="Arial"/>
          <w:sz w:val="24"/>
          <w:szCs w:val="24"/>
        </w:rPr>
        <w:t xml:space="preserve">This list is not exhaustive - our approach to homelessness prevention is to do whatever is needed to secure and maintain a tenancy and there is the flexibility to respond creatively. </w:t>
      </w:r>
    </w:p>
    <w:p w:rsidR="00C725D9" w:rsidRDefault="00C725D9" w:rsidP="00C725D9">
      <w:pPr>
        <w:autoSpaceDE w:val="0"/>
        <w:autoSpaceDN w:val="0"/>
        <w:adjustRightInd w:val="0"/>
        <w:spacing w:after="0" w:line="240" w:lineRule="auto"/>
        <w:jc w:val="both"/>
        <w:rPr>
          <w:rFonts w:ascii="Arial" w:hAnsi="Arial" w:cs="Arial"/>
        </w:rPr>
      </w:pPr>
    </w:p>
    <w:p w:rsidR="00C725D9" w:rsidRPr="0059268E" w:rsidRDefault="00C725D9" w:rsidP="00C725D9">
      <w:pPr>
        <w:autoSpaceDE w:val="0"/>
        <w:autoSpaceDN w:val="0"/>
        <w:adjustRightInd w:val="0"/>
        <w:spacing w:after="0" w:line="240" w:lineRule="auto"/>
        <w:jc w:val="both"/>
        <w:rPr>
          <w:rFonts w:ascii="Arial" w:hAnsi="Arial" w:cs="Arial"/>
        </w:rPr>
      </w:pPr>
    </w:p>
    <w:p w:rsidR="00C725D9" w:rsidRPr="003D2338" w:rsidRDefault="00C725D9" w:rsidP="00C725D9">
      <w:pPr>
        <w:autoSpaceDE w:val="0"/>
        <w:autoSpaceDN w:val="0"/>
        <w:adjustRightInd w:val="0"/>
        <w:spacing w:after="0" w:line="240" w:lineRule="auto"/>
        <w:rPr>
          <w:rFonts w:ascii="Arial" w:hAnsi="Arial" w:cs="Arial"/>
          <w:sz w:val="24"/>
          <w:szCs w:val="24"/>
          <w:u w:val="single"/>
        </w:rPr>
      </w:pPr>
      <w:r w:rsidRPr="003D2338">
        <w:rPr>
          <w:rFonts w:ascii="Arial" w:hAnsi="Arial" w:cs="Arial"/>
          <w:sz w:val="24"/>
          <w:szCs w:val="24"/>
          <w:u w:val="single"/>
        </w:rPr>
        <w:t>Prevention and Relief: Reporting.</w:t>
      </w:r>
    </w:p>
    <w:p w:rsidR="00C725D9" w:rsidRPr="003D2338" w:rsidRDefault="00C725D9" w:rsidP="00C725D9">
      <w:pPr>
        <w:autoSpaceDE w:val="0"/>
        <w:autoSpaceDN w:val="0"/>
        <w:adjustRightInd w:val="0"/>
        <w:spacing w:after="0" w:line="240" w:lineRule="auto"/>
        <w:rPr>
          <w:rFonts w:ascii="Arial" w:hAnsi="Arial" w:cs="Arial"/>
          <w:sz w:val="24"/>
          <w:szCs w:val="24"/>
        </w:rPr>
      </w:pPr>
    </w:p>
    <w:p w:rsidR="00C725D9" w:rsidRPr="003D2338" w:rsidRDefault="00C725D9" w:rsidP="00C725D9">
      <w:pPr>
        <w:autoSpaceDE w:val="0"/>
        <w:autoSpaceDN w:val="0"/>
        <w:adjustRightInd w:val="0"/>
        <w:spacing w:after="0" w:line="240" w:lineRule="auto"/>
        <w:rPr>
          <w:rFonts w:ascii="Arial" w:hAnsi="Arial" w:cs="Arial"/>
          <w:sz w:val="24"/>
          <w:szCs w:val="24"/>
        </w:rPr>
      </w:pPr>
      <w:r w:rsidRPr="003D2338">
        <w:rPr>
          <w:rFonts w:ascii="Arial" w:hAnsi="Arial" w:cs="Arial"/>
          <w:sz w:val="24"/>
          <w:szCs w:val="24"/>
        </w:rPr>
        <w:t>If we fail to report our actual level of prevention and relief it may affect future funding and the reputation of the council. Due to the difficulties detailed we aim to achieve the following targets:</w:t>
      </w:r>
    </w:p>
    <w:p w:rsidR="00C725D9" w:rsidRPr="003D2338" w:rsidRDefault="00C725D9" w:rsidP="00C725D9">
      <w:pPr>
        <w:autoSpaceDE w:val="0"/>
        <w:autoSpaceDN w:val="0"/>
        <w:adjustRightInd w:val="0"/>
        <w:spacing w:after="0" w:line="240" w:lineRule="auto"/>
        <w:rPr>
          <w:rFonts w:ascii="Arial" w:hAnsi="Arial" w:cs="Arial"/>
          <w:sz w:val="24"/>
          <w:szCs w:val="24"/>
        </w:rPr>
      </w:pPr>
    </w:p>
    <w:p w:rsidR="00C725D9" w:rsidRPr="003D2338" w:rsidRDefault="00C725D9" w:rsidP="00C725D9">
      <w:pPr>
        <w:pStyle w:val="ListParagraph"/>
        <w:numPr>
          <w:ilvl w:val="0"/>
          <w:numId w:val="50"/>
        </w:numPr>
        <w:autoSpaceDE w:val="0"/>
        <w:autoSpaceDN w:val="0"/>
        <w:adjustRightInd w:val="0"/>
        <w:spacing w:after="0" w:line="240" w:lineRule="auto"/>
        <w:rPr>
          <w:rFonts w:ascii="Arial" w:hAnsi="Arial" w:cs="Arial"/>
          <w:sz w:val="24"/>
          <w:szCs w:val="24"/>
        </w:rPr>
      </w:pPr>
      <w:r w:rsidRPr="003D2338">
        <w:rPr>
          <w:rFonts w:ascii="Arial" w:hAnsi="Arial" w:cs="Arial"/>
          <w:sz w:val="24"/>
          <w:szCs w:val="24"/>
        </w:rPr>
        <w:t xml:space="preserve">Work with partner agencies to devise a system of obtaining sufficient information from them to be able to input each case on </w:t>
      </w:r>
      <w:proofErr w:type="spellStart"/>
      <w:r w:rsidRPr="003D2338">
        <w:rPr>
          <w:rFonts w:ascii="Arial" w:hAnsi="Arial" w:cs="Arial"/>
          <w:sz w:val="24"/>
          <w:szCs w:val="24"/>
        </w:rPr>
        <w:t>Locata</w:t>
      </w:r>
      <w:proofErr w:type="spellEnd"/>
      <w:r w:rsidRPr="003D2338">
        <w:rPr>
          <w:rFonts w:ascii="Arial" w:hAnsi="Arial" w:cs="Arial"/>
          <w:sz w:val="24"/>
          <w:szCs w:val="24"/>
        </w:rPr>
        <w:t xml:space="preserve"> so that it can be uploaded onto the governments Delta website as a prevention or relief.</w:t>
      </w:r>
    </w:p>
    <w:p w:rsidR="00C725D9" w:rsidRPr="003D2338" w:rsidRDefault="00C725D9" w:rsidP="00C725D9">
      <w:pPr>
        <w:pStyle w:val="ListParagraph"/>
        <w:numPr>
          <w:ilvl w:val="0"/>
          <w:numId w:val="50"/>
        </w:numPr>
        <w:autoSpaceDE w:val="0"/>
        <w:autoSpaceDN w:val="0"/>
        <w:adjustRightInd w:val="0"/>
        <w:spacing w:after="0" w:line="240" w:lineRule="auto"/>
        <w:rPr>
          <w:rFonts w:ascii="Arial" w:hAnsi="Arial" w:cs="Arial"/>
          <w:sz w:val="24"/>
          <w:szCs w:val="24"/>
        </w:rPr>
      </w:pPr>
      <w:r w:rsidRPr="003D2338">
        <w:rPr>
          <w:rFonts w:ascii="Arial" w:hAnsi="Arial" w:cs="Arial"/>
          <w:sz w:val="24"/>
          <w:szCs w:val="24"/>
        </w:rPr>
        <w:t>To ensure data sharing arrangements are robust and GDPR compliant.</w:t>
      </w:r>
    </w:p>
    <w:p w:rsidR="00C725D9" w:rsidRPr="003D2338" w:rsidRDefault="00C725D9" w:rsidP="00C725D9">
      <w:pPr>
        <w:pStyle w:val="ListParagraph"/>
        <w:numPr>
          <w:ilvl w:val="0"/>
          <w:numId w:val="50"/>
        </w:numPr>
        <w:autoSpaceDE w:val="0"/>
        <w:autoSpaceDN w:val="0"/>
        <w:adjustRightInd w:val="0"/>
        <w:spacing w:after="0" w:line="240" w:lineRule="auto"/>
        <w:rPr>
          <w:rFonts w:ascii="Arial" w:hAnsi="Arial" w:cs="Arial"/>
          <w:sz w:val="24"/>
          <w:szCs w:val="24"/>
        </w:rPr>
      </w:pPr>
      <w:r w:rsidRPr="003D2338">
        <w:rPr>
          <w:rFonts w:ascii="Arial" w:hAnsi="Arial" w:cs="Arial"/>
          <w:sz w:val="24"/>
          <w:szCs w:val="24"/>
        </w:rPr>
        <w:t>To regularly monitor the data sharing arrangement to ensure it is working smoothly and minimising any extra workloads.</w:t>
      </w:r>
    </w:p>
    <w:p w:rsidR="00C725D9" w:rsidRPr="003D2338" w:rsidRDefault="00C725D9" w:rsidP="00C725D9">
      <w:pPr>
        <w:autoSpaceDE w:val="0"/>
        <w:autoSpaceDN w:val="0"/>
        <w:adjustRightInd w:val="0"/>
        <w:spacing w:after="0" w:line="240" w:lineRule="auto"/>
        <w:rPr>
          <w:rFonts w:ascii="Arial" w:hAnsi="Arial" w:cs="Arial"/>
          <w:sz w:val="24"/>
          <w:szCs w:val="24"/>
        </w:rPr>
      </w:pPr>
    </w:p>
    <w:p w:rsidR="00C725D9" w:rsidRPr="003D2338" w:rsidRDefault="00C725D9" w:rsidP="00C725D9">
      <w:pPr>
        <w:autoSpaceDE w:val="0"/>
        <w:autoSpaceDN w:val="0"/>
        <w:adjustRightInd w:val="0"/>
        <w:spacing w:after="0" w:line="240" w:lineRule="auto"/>
        <w:rPr>
          <w:rFonts w:ascii="Arial" w:hAnsi="Arial" w:cs="Arial"/>
          <w:sz w:val="24"/>
          <w:szCs w:val="24"/>
        </w:rPr>
      </w:pPr>
    </w:p>
    <w:p w:rsidR="00C725D9" w:rsidRPr="003D2338" w:rsidRDefault="00C725D9" w:rsidP="00C725D9">
      <w:pPr>
        <w:autoSpaceDE w:val="0"/>
        <w:autoSpaceDN w:val="0"/>
        <w:adjustRightInd w:val="0"/>
        <w:spacing w:after="0" w:line="240" w:lineRule="auto"/>
        <w:rPr>
          <w:rFonts w:ascii="Arial" w:hAnsi="Arial" w:cs="Arial"/>
          <w:sz w:val="24"/>
          <w:szCs w:val="24"/>
          <w:u w:val="single"/>
        </w:rPr>
      </w:pPr>
      <w:r w:rsidRPr="003D2338">
        <w:rPr>
          <w:rFonts w:ascii="Arial" w:hAnsi="Arial" w:cs="Arial"/>
          <w:sz w:val="24"/>
          <w:szCs w:val="24"/>
          <w:u w:val="single"/>
        </w:rPr>
        <w:t>Prevention and Relief: Affordability.</w:t>
      </w:r>
    </w:p>
    <w:p w:rsidR="00C725D9" w:rsidRPr="003D2338" w:rsidRDefault="00C725D9" w:rsidP="00C725D9">
      <w:pPr>
        <w:autoSpaceDE w:val="0"/>
        <w:autoSpaceDN w:val="0"/>
        <w:adjustRightInd w:val="0"/>
        <w:spacing w:after="0" w:line="240" w:lineRule="auto"/>
        <w:rPr>
          <w:rFonts w:ascii="Arial" w:hAnsi="Arial" w:cs="Arial"/>
          <w:sz w:val="24"/>
          <w:szCs w:val="24"/>
          <w:u w:val="single"/>
        </w:rPr>
      </w:pPr>
    </w:p>
    <w:p w:rsidR="00C725D9" w:rsidRPr="003D2338" w:rsidRDefault="00C725D9" w:rsidP="00C725D9">
      <w:pPr>
        <w:autoSpaceDE w:val="0"/>
        <w:autoSpaceDN w:val="0"/>
        <w:adjustRightInd w:val="0"/>
        <w:spacing w:after="0" w:line="240" w:lineRule="auto"/>
        <w:rPr>
          <w:rFonts w:ascii="Arial" w:hAnsi="Arial" w:cs="Arial"/>
          <w:sz w:val="24"/>
          <w:szCs w:val="24"/>
        </w:rPr>
      </w:pPr>
      <w:r w:rsidRPr="003D2338">
        <w:rPr>
          <w:rFonts w:ascii="Arial" w:hAnsi="Arial" w:cs="Arial"/>
          <w:sz w:val="24"/>
          <w:szCs w:val="24"/>
        </w:rPr>
        <w:t>In a climate of reducing levels of affordable private rented sector accommodation we will:</w:t>
      </w:r>
    </w:p>
    <w:p w:rsidR="00C725D9" w:rsidRPr="003D2338" w:rsidRDefault="00C725D9" w:rsidP="00C725D9">
      <w:pPr>
        <w:autoSpaceDE w:val="0"/>
        <w:autoSpaceDN w:val="0"/>
        <w:adjustRightInd w:val="0"/>
        <w:spacing w:after="0" w:line="240" w:lineRule="auto"/>
        <w:rPr>
          <w:rFonts w:ascii="Arial" w:hAnsi="Arial" w:cs="Arial"/>
          <w:sz w:val="24"/>
          <w:szCs w:val="24"/>
          <w:u w:val="single"/>
        </w:rPr>
      </w:pPr>
    </w:p>
    <w:p w:rsidR="00C725D9" w:rsidRPr="003D2338" w:rsidRDefault="00C725D9" w:rsidP="00C725D9">
      <w:pPr>
        <w:pStyle w:val="ListParagraph"/>
        <w:numPr>
          <w:ilvl w:val="0"/>
          <w:numId w:val="51"/>
        </w:numPr>
        <w:autoSpaceDE w:val="0"/>
        <w:autoSpaceDN w:val="0"/>
        <w:adjustRightInd w:val="0"/>
        <w:spacing w:after="0" w:line="240" w:lineRule="auto"/>
        <w:rPr>
          <w:rFonts w:ascii="Arial" w:hAnsi="Arial" w:cs="Arial"/>
          <w:sz w:val="24"/>
          <w:szCs w:val="24"/>
        </w:rPr>
      </w:pPr>
      <w:r w:rsidRPr="003D2338">
        <w:rPr>
          <w:rFonts w:ascii="Arial" w:hAnsi="Arial" w:cs="Arial"/>
          <w:sz w:val="24"/>
          <w:szCs w:val="24"/>
        </w:rPr>
        <w:t>Increase the use of landlord payments to reduce rents to affordable amounts for 12 months.</w:t>
      </w:r>
    </w:p>
    <w:p w:rsidR="00C725D9" w:rsidRPr="003D2338" w:rsidRDefault="00C725D9" w:rsidP="00C725D9">
      <w:pPr>
        <w:pStyle w:val="ListParagraph"/>
        <w:numPr>
          <w:ilvl w:val="0"/>
          <w:numId w:val="51"/>
        </w:numPr>
        <w:autoSpaceDE w:val="0"/>
        <w:autoSpaceDN w:val="0"/>
        <w:adjustRightInd w:val="0"/>
        <w:spacing w:after="0" w:line="240" w:lineRule="auto"/>
        <w:rPr>
          <w:rFonts w:ascii="Arial" w:hAnsi="Arial" w:cs="Arial"/>
          <w:sz w:val="24"/>
          <w:szCs w:val="24"/>
        </w:rPr>
      </w:pPr>
      <w:r w:rsidRPr="003D2338">
        <w:rPr>
          <w:rFonts w:ascii="Arial" w:hAnsi="Arial" w:cs="Arial"/>
          <w:sz w:val="24"/>
          <w:szCs w:val="24"/>
        </w:rPr>
        <w:t>Formalise the process for referrals to money advice and agencies which help to increase employment prospects in order to make tenancies sustainable long term.</w:t>
      </w:r>
    </w:p>
    <w:p w:rsidR="00C725D9" w:rsidRPr="003D2338" w:rsidRDefault="00C725D9" w:rsidP="00C725D9">
      <w:pPr>
        <w:pStyle w:val="ListParagraph"/>
        <w:numPr>
          <w:ilvl w:val="0"/>
          <w:numId w:val="51"/>
        </w:numPr>
        <w:autoSpaceDE w:val="0"/>
        <w:autoSpaceDN w:val="0"/>
        <w:adjustRightInd w:val="0"/>
        <w:spacing w:after="0" w:line="240" w:lineRule="auto"/>
        <w:rPr>
          <w:rFonts w:ascii="Arial" w:hAnsi="Arial" w:cs="Arial"/>
          <w:sz w:val="24"/>
          <w:szCs w:val="24"/>
        </w:rPr>
      </w:pPr>
      <w:r w:rsidRPr="003D2338">
        <w:rPr>
          <w:rFonts w:ascii="Arial" w:hAnsi="Arial" w:cs="Arial"/>
          <w:sz w:val="24"/>
          <w:szCs w:val="24"/>
        </w:rPr>
        <w:t>Seek ways to continue this financial support following the enactment of the Tenant Fees Bill in June this year.</w:t>
      </w:r>
    </w:p>
    <w:p w:rsidR="00C725D9" w:rsidRPr="003D2338" w:rsidRDefault="00C725D9" w:rsidP="00C725D9">
      <w:pPr>
        <w:pStyle w:val="ListParagraph"/>
        <w:numPr>
          <w:ilvl w:val="0"/>
          <w:numId w:val="51"/>
        </w:numPr>
        <w:autoSpaceDE w:val="0"/>
        <w:autoSpaceDN w:val="0"/>
        <w:adjustRightInd w:val="0"/>
        <w:spacing w:after="0" w:line="240" w:lineRule="auto"/>
        <w:rPr>
          <w:rFonts w:ascii="Arial" w:hAnsi="Arial" w:cs="Arial"/>
          <w:sz w:val="24"/>
          <w:szCs w:val="24"/>
        </w:rPr>
      </w:pPr>
      <w:r w:rsidRPr="003D2338">
        <w:rPr>
          <w:rFonts w:ascii="Arial" w:hAnsi="Arial" w:cs="Arial"/>
          <w:sz w:val="24"/>
          <w:szCs w:val="24"/>
        </w:rPr>
        <w:t>Continue to provide support for deposits and fees wherever possible.</w:t>
      </w:r>
    </w:p>
    <w:p w:rsidR="00C725D9" w:rsidRPr="003D2338" w:rsidRDefault="00C725D9" w:rsidP="00C725D9">
      <w:pPr>
        <w:pStyle w:val="ListParagraph"/>
        <w:numPr>
          <w:ilvl w:val="0"/>
          <w:numId w:val="51"/>
        </w:numPr>
        <w:autoSpaceDE w:val="0"/>
        <w:autoSpaceDN w:val="0"/>
        <w:adjustRightInd w:val="0"/>
        <w:spacing w:after="0" w:line="240" w:lineRule="auto"/>
        <w:rPr>
          <w:rFonts w:ascii="Arial" w:hAnsi="Arial" w:cs="Arial"/>
          <w:sz w:val="24"/>
          <w:szCs w:val="24"/>
        </w:rPr>
      </w:pPr>
      <w:r w:rsidRPr="003D2338">
        <w:rPr>
          <w:rFonts w:ascii="Arial" w:hAnsi="Arial" w:cs="Arial"/>
          <w:sz w:val="24"/>
          <w:szCs w:val="24"/>
        </w:rPr>
        <w:t>Support the countywide bid for funding from the government’s Priv</w:t>
      </w:r>
      <w:r w:rsidR="00EA2CEF">
        <w:rPr>
          <w:rFonts w:ascii="Arial" w:hAnsi="Arial" w:cs="Arial"/>
          <w:sz w:val="24"/>
          <w:szCs w:val="24"/>
        </w:rPr>
        <w:t>ate</w:t>
      </w:r>
      <w:r w:rsidRPr="003D2338">
        <w:rPr>
          <w:rFonts w:ascii="Arial" w:hAnsi="Arial" w:cs="Arial"/>
          <w:sz w:val="24"/>
          <w:szCs w:val="24"/>
        </w:rPr>
        <w:t xml:space="preserve"> Rented Sector Access Fund to be able to advertise suitable private rented properties through </w:t>
      </w:r>
      <w:proofErr w:type="spellStart"/>
      <w:r w:rsidRPr="003D2338">
        <w:rPr>
          <w:rFonts w:ascii="Arial" w:hAnsi="Arial" w:cs="Arial"/>
          <w:sz w:val="24"/>
          <w:szCs w:val="24"/>
        </w:rPr>
        <w:t>HomeseekerPlus</w:t>
      </w:r>
      <w:proofErr w:type="spellEnd"/>
      <w:r w:rsidRPr="003D2338">
        <w:rPr>
          <w:rFonts w:ascii="Arial" w:hAnsi="Arial" w:cs="Arial"/>
          <w:sz w:val="24"/>
          <w:szCs w:val="24"/>
        </w:rPr>
        <w:t xml:space="preserve"> and increase the number of households we can help</w:t>
      </w:r>
      <w:r>
        <w:rPr>
          <w:rFonts w:ascii="Arial" w:hAnsi="Arial" w:cs="Arial"/>
          <w:sz w:val="24"/>
          <w:szCs w:val="24"/>
        </w:rPr>
        <w:t xml:space="preserve"> to</w:t>
      </w:r>
      <w:r w:rsidRPr="003D2338">
        <w:rPr>
          <w:rFonts w:ascii="Arial" w:hAnsi="Arial" w:cs="Arial"/>
          <w:sz w:val="24"/>
          <w:szCs w:val="24"/>
        </w:rPr>
        <w:t xml:space="preserve"> access the private sector.</w:t>
      </w:r>
    </w:p>
    <w:p w:rsidR="00C725D9" w:rsidRDefault="00C725D9" w:rsidP="00C725D9">
      <w:pPr>
        <w:pStyle w:val="ListParagraph"/>
        <w:numPr>
          <w:ilvl w:val="0"/>
          <w:numId w:val="51"/>
        </w:numPr>
        <w:autoSpaceDE w:val="0"/>
        <w:autoSpaceDN w:val="0"/>
        <w:adjustRightInd w:val="0"/>
        <w:spacing w:after="0" w:line="240" w:lineRule="auto"/>
        <w:rPr>
          <w:rFonts w:ascii="Arial" w:hAnsi="Arial" w:cs="Arial"/>
          <w:sz w:val="24"/>
          <w:szCs w:val="24"/>
        </w:rPr>
      </w:pPr>
      <w:r w:rsidRPr="003D2338">
        <w:rPr>
          <w:rFonts w:ascii="Arial" w:hAnsi="Arial" w:cs="Arial"/>
          <w:sz w:val="24"/>
          <w:szCs w:val="24"/>
        </w:rPr>
        <w:t>Continue to pay arrears in exceptional circumstances where it is likely to lead to a sustainable tenancy.</w:t>
      </w:r>
    </w:p>
    <w:p w:rsidR="00C725D9" w:rsidRPr="003D2338" w:rsidRDefault="00C725D9" w:rsidP="00C725D9">
      <w:pPr>
        <w:pStyle w:val="ListParagraph"/>
        <w:numPr>
          <w:ilvl w:val="0"/>
          <w:numId w:val="51"/>
        </w:numPr>
        <w:autoSpaceDE w:val="0"/>
        <w:autoSpaceDN w:val="0"/>
        <w:adjustRightInd w:val="0"/>
        <w:spacing w:after="0" w:line="240" w:lineRule="auto"/>
        <w:rPr>
          <w:rFonts w:ascii="Arial" w:hAnsi="Arial" w:cs="Arial"/>
          <w:sz w:val="24"/>
          <w:szCs w:val="24"/>
        </w:rPr>
      </w:pPr>
      <w:r>
        <w:rPr>
          <w:rFonts w:ascii="Arial" w:hAnsi="Arial" w:cs="Arial"/>
          <w:sz w:val="24"/>
          <w:szCs w:val="24"/>
        </w:rPr>
        <w:t>Grant funding to P3 who can use the grant to pay rent in advance.</w:t>
      </w:r>
    </w:p>
    <w:p w:rsidR="00C725D9" w:rsidRPr="003D2338" w:rsidRDefault="00C725D9" w:rsidP="00C725D9">
      <w:pPr>
        <w:autoSpaceDE w:val="0"/>
        <w:autoSpaceDN w:val="0"/>
        <w:adjustRightInd w:val="0"/>
        <w:spacing w:after="0" w:line="240" w:lineRule="auto"/>
        <w:jc w:val="both"/>
        <w:rPr>
          <w:rFonts w:ascii="Arial" w:hAnsi="Arial" w:cs="Arial"/>
          <w:sz w:val="24"/>
          <w:szCs w:val="24"/>
        </w:rPr>
      </w:pPr>
      <w:r w:rsidRPr="003D2338">
        <w:rPr>
          <w:rFonts w:ascii="Arial" w:hAnsi="Arial" w:cs="Arial"/>
          <w:sz w:val="24"/>
          <w:szCs w:val="24"/>
        </w:rPr>
        <w:t xml:space="preserve">. </w:t>
      </w:r>
    </w:p>
    <w:p w:rsidR="00C725D9" w:rsidRPr="003D2338" w:rsidRDefault="00C725D9" w:rsidP="00C725D9">
      <w:pPr>
        <w:autoSpaceDE w:val="0"/>
        <w:autoSpaceDN w:val="0"/>
        <w:adjustRightInd w:val="0"/>
        <w:spacing w:after="0" w:line="240" w:lineRule="auto"/>
        <w:jc w:val="both"/>
        <w:rPr>
          <w:rFonts w:ascii="Arial" w:hAnsi="Arial" w:cs="Arial"/>
          <w:sz w:val="24"/>
          <w:szCs w:val="24"/>
        </w:rPr>
      </w:pPr>
    </w:p>
    <w:p w:rsidR="00C725D9" w:rsidRPr="0059268E" w:rsidRDefault="00C725D9" w:rsidP="00C725D9">
      <w:pPr>
        <w:autoSpaceDE w:val="0"/>
        <w:autoSpaceDN w:val="0"/>
        <w:adjustRightInd w:val="0"/>
        <w:spacing w:after="0" w:line="240" w:lineRule="auto"/>
        <w:rPr>
          <w:rFonts w:ascii="Arial" w:hAnsi="Arial" w:cs="Arial"/>
        </w:rPr>
      </w:pPr>
    </w:p>
    <w:p w:rsidR="00C725D9" w:rsidRPr="00BB6756" w:rsidRDefault="00C725D9" w:rsidP="00C725D9">
      <w:pPr>
        <w:spacing w:after="0" w:line="240" w:lineRule="auto"/>
        <w:rPr>
          <w:rFonts w:ascii="Arial" w:hAnsi="Arial" w:cs="Arial"/>
          <w:sz w:val="24"/>
          <w:szCs w:val="24"/>
          <w:u w:val="single"/>
        </w:rPr>
      </w:pPr>
      <w:proofErr w:type="gramStart"/>
      <w:r>
        <w:rPr>
          <w:rFonts w:ascii="Arial" w:hAnsi="Arial" w:cs="Arial"/>
          <w:sz w:val="24"/>
          <w:szCs w:val="24"/>
          <w:u w:val="single"/>
        </w:rPr>
        <w:t>Young People.</w:t>
      </w:r>
      <w:proofErr w:type="gramEnd"/>
    </w:p>
    <w:p w:rsidR="00C725D9" w:rsidRDefault="00C725D9" w:rsidP="00C725D9">
      <w:pPr>
        <w:spacing w:after="0" w:line="240" w:lineRule="auto"/>
        <w:jc w:val="both"/>
        <w:rPr>
          <w:rFonts w:ascii="Arial" w:hAnsi="Arial" w:cs="Arial"/>
        </w:rPr>
      </w:pPr>
    </w:p>
    <w:p w:rsidR="00C725D9" w:rsidRDefault="00C725D9" w:rsidP="00F72226">
      <w:pPr>
        <w:pStyle w:val="ListParagraph"/>
        <w:numPr>
          <w:ilvl w:val="0"/>
          <w:numId w:val="21"/>
        </w:numPr>
        <w:spacing w:afterLines="40" w:line="240" w:lineRule="auto"/>
        <w:contextualSpacing w:val="0"/>
        <w:jc w:val="both"/>
        <w:rPr>
          <w:rFonts w:ascii="Arial" w:hAnsi="Arial" w:cs="Arial"/>
          <w:sz w:val="24"/>
          <w:szCs w:val="24"/>
        </w:rPr>
      </w:pPr>
      <w:r w:rsidRPr="000E7C21">
        <w:rPr>
          <w:rFonts w:ascii="Arial" w:hAnsi="Arial" w:cs="Arial"/>
          <w:sz w:val="24"/>
          <w:szCs w:val="24"/>
        </w:rPr>
        <w:t xml:space="preserve">There is a single point of access for supported housing for young people via the </w:t>
      </w:r>
      <w:r w:rsidR="00A5449D">
        <w:rPr>
          <w:rFonts w:ascii="Arial" w:hAnsi="Arial" w:cs="Arial"/>
          <w:sz w:val="24"/>
          <w:szCs w:val="24"/>
        </w:rPr>
        <w:t>START 16+ process</w:t>
      </w:r>
      <w:r w:rsidRPr="000E7C21">
        <w:rPr>
          <w:rFonts w:ascii="Arial" w:hAnsi="Arial" w:cs="Arial"/>
          <w:sz w:val="24"/>
          <w:szCs w:val="24"/>
        </w:rPr>
        <w:t xml:space="preserve">, and to Kingfishers, which is supported housing for young people with learning disabilities. The </w:t>
      </w:r>
      <w:r w:rsidR="00A5449D">
        <w:rPr>
          <w:rFonts w:ascii="Arial" w:hAnsi="Arial" w:cs="Arial"/>
          <w:sz w:val="24"/>
          <w:szCs w:val="24"/>
        </w:rPr>
        <w:t>START 16+ meeting</w:t>
      </w:r>
      <w:r w:rsidRPr="000E7C21">
        <w:rPr>
          <w:rFonts w:ascii="Arial" w:hAnsi="Arial" w:cs="Arial"/>
          <w:sz w:val="24"/>
          <w:szCs w:val="24"/>
        </w:rPr>
        <w:t xml:space="preserve"> is attended by the youth accommodation providers in the District and is designed to ensure young people are offered a placement in the most appropriate accommodation for their needs. </w:t>
      </w:r>
    </w:p>
    <w:p w:rsidR="00A5449D" w:rsidRPr="000E7C21" w:rsidRDefault="00A5449D" w:rsidP="00F72226">
      <w:pPr>
        <w:pStyle w:val="ListParagraph"/>
        <w:numPr>
          <w:ilvl w:val="0"/>
          <w:numId w:val="21"/>
        </w:numPr>
        <w:spacing w:afterLines="40" w:line="240" w:lineRule="auto"/>
        <w:contextualSpacing w:val="0"/>
        <w:jc w:val="both"/>
        <w:rPr>
          <w:rFonts w:ascii="Arial" w:hAnsi="Arial" w:cs="Arial"/>
          <w:sz w:val="24"/>
          <w:szCs w:val="24"/>
        </w:rPr>
      </w:pPr>
      <w:r w:rsidRPr="000E7C21">
        <w:rPr>
          <w:rFonts w:ascii="Arial" w:hAnsi="Arial" w:cs="Arial"/>
          <w:sz w:val="24"/>
          <w:szCs w:val="24"/>
        </w:rPr>
        <w:t>County reconnection policy ensures people can return to their community and retain their links with social, education and employment networks</w:t>
      </w:r>
    </w:p>
    <w:p w:rsidR="00A5449D" w:rsidRPr="000E7C21" w:rsidRDefault="00A5449D" w:rsidP="00F72226">
      <w:pPr>
        <w:pStyle w:val="ListParagraph"/>
        <w:spacing w:afterLines="40" w:line="240" w:lineRule="auto"/>
        <w:ind w:left="360"/>
        <w:contextualSpacing w:val="0"/>
        <w:jc w:val="both"/>
        <w:rPr>
          <w:rFonts w:ascii="Arial" w:hAnsi="Arial" w:cs="Arial"/>
          <w:sz w:val="24"/>
          <w:szCs w:val="24"/>
        </w:rPr>
      </w:pPr>
    </w:p>
    <w:p w:rsidR="00A5449D" w:rsidRDefault="00C725D9" w:rsidP="00F72226">
      <w:pPr>
        <w:pStyle w:val="ListParagraph"/>
        <w:numPr>
          <w:ilvl w:val="0"/>
          <w:numId w:val="21"/>
        </w:numPr>
        <w:spacing w:afterLines="40" w:line="240" w:lineRule="auto"/>
        <w:contextualSpacing w:val="0"/>
        <w:jc w:val="both"/>
        <w:rPr>
          <w:rFonts w:ascii="Arial" w:hAnsi="Arial" w:cs="Arial"/>
          <w:sz w:val="24"/>
          <w:szCs w:val="24"/>
        </w:rPr>
      </w:pPr>
      <w:r w:rsidRPr="000E7C21">
        <w:rPr>
          <w:rFonts w:ascii="Arial" w:hAnsi="Arial" w:cs="Arial"/>
          <w:sz w:val="24"/>
          <w:szCs w:val="24"/>
        </w:rPr>
        <w:t>Counselling service for young people and their families to enable them to resolve their conflict and remain in secure accommodation with a managed move to independent living</w:t>
      </w:r>
    </w:p>
    <w:p w:rsidR="00A5449D" w:rsidRPr="00A5449D" w:rsidRDefault="00A5449D" w:rsidP="00F72226">
      <w:pPr>
        <w:pStyle w:val="ListParagraph"/>
        <w:spacing w:afterLines="40" w:line="240" w:lineRule="auto"/>
        <w:ind w:left="360"/>
        <w:contextualSpacing w:val="0"/>
        <w:jc w:val="both"/>
        <w:rPr>
          <w:rFonts w:ascii="Arial" w:hAnsi="Arial" w:cs="Arial"/>
          <w:sz w:val="24"/>
          <w:szCs w:val="24"/>
        </w:rPr>
      </w:pPr>
    </w:p>
    <w:p w:rsidR="00C725D9" w:rsidRDefault="00C725D9" w:rsidP="00F72226">
      <w:pPr>
        <w:pStyle w:val="ListParagraph"/>
        <w:numPr>
          <w:ilvl w:val="0"/>
          <w:numId w:val="21"/>
        </w:numPr>
        <w:spacing w:afterLines="40" w:line="240" w:lineRule="auto"/>
        <w:contextualSpacing w:val="0"/>
        <w:jc w:val="both"/>
        <w:rPr>
          <w:rFonts w:ascii="Arial" w:hAnsi="Arial" w:cs="Arial"/>
          <w:sz w:val="24"/>
          <w:szCs w:val="24"/>
        </w:rPr>
      </w:pPr>
      <w:r w:rsidRPr="000E7C21">
        <w:rPr>
          <w:rFonts w:ascii="Arial" w:hAnsi="Arial" w:cs="Arial"/>
          <w:sz w:val="24"/>
          <w:szCs w:val="24"/>
        </w:rPr>
        <w:t>Funding provided towards provision of countywide volunteer hosting service (</w:t>
      </w:r>
      <w:proofErr w:type="spellStart"/>
      <w:r w:rsidRPr="000E7C21">
        <w:rPr>
          <w:rFonts w:ascii="Arial" w:hAnsi="Arial" w:cs="Arial"/>
          <w:sz w:val="24"/>
          <w:szCs w:val="24"/>
        </w:rPr>
        <w:t>Nightstop</w:t>
      </w:r>
      <w:proofErr w:type="spellEnd"/>
      <w:r w:rsidRPr="000E7C21">
        <w:rPr>
          <w:rFonts w:ascii="Arial" w:hAnsi="Arial" w:cs="Arial"/>
          <w:sz w:val="24"/>
          <w:szCs w:val="24"/>
        </w:rPr>
        <w:t>) that provides emergency temporary accommodation and support for a 16-25 year old until homelessness is resolved</w:t>
      </w:r>
    </w:p>
    <w:p w:rsidR="00A5449D" w:rsidRPr="00A5449D" w:rsidRDefault="00A5449D" w:rsidP="00A5449D">
      <w:pPr>
        <w:pStyle w:val="ListParagraph"/>
        <w:rPr>
          <w:rFonts w:ascii="Arial" w:hAnsi="Arial" w:cs="Arial"/>
          <w:sz w:val="24"/>
          <w:szCs w:val="24"/>
        </w:rPr>
      </w:pPr>
    </w:p>
    <w:p w:rsidR="00A5449D" w:rsidRPr="000E7C21" w:rsidRDefault="00A5449D" w:rsidP="00F72226">
      <w:pPr>
        <w:pStyle w:val="ListParagraph"/>
        <w:numPr>
          <w:ilvl w:val="0"/>
          <w:numId w:val="21"/>
        </w:numPr>
        <w:spacing w:afterLines="40" w:line="240" w:lineRule="auto"/>
        <w:contextualSpacing w:val="0"/>
        <w:jc w:val="both"/>
        <w:rPr>
          <w:rFonts w:ascii="Arial" w:hAnsi="Arial" w:cs="Arial"/>
          <w:sz w:val="24"/>
          <w:szCs w:val="24"/>
        </w:rPr>
      </w:pPr>
      <w:r>
        <w:rPr>
          <w:rFonts w:ascii="Arial" w:hAnsi="Arial" w:cs="Arial"/>
          <w:sz w:val="24"/>
          <w:szCs w:val="24"/>
        </w:rPr>
        <w:t>Funding provided towards provision of two units of “</w:t>
      </w:r>
      <w:proofErr w:type="spellStart"/>
      <w:r>
        <w:rPr>
          <w:rFonts w:ascii="Arial" w:hAnsi="Arial" w:cs="Arial"/>
          <w:sz w:val="24"/>
          <w:szCs w:val="24"/>
        </w:rPr>
        <w:t>crashpad</w:t>
      </w:r>
      <w:proofErr w:type="spellEnd"/>
      <w:r>
        <w:rPr>
          <w:rFonts w:ascii="Arial" w:hAnsi="Arial" w:cs="Arial"/>
          <w:sz w:val="24"/>
          <w:szCs w:val="24"/>
        </w:rPr>
        <w:t>” style accommodation through the START 16+ process. Provision of these services is to help ensure the authority does not place people under 18 into bed and breakfast type accommodation. Government guidance is that this type of accommodation is not suitable.</w:t>
      </w:r>
    </w:p>
    <w:p w:rsidR="00C725D9" w:rsidRPr="000E7C21" w:rsidRDefault="00C725D9" w:rsidP="00F72226">
      <w:pPr>
        <w:pStyle w:val="ListParagraph"/>
        <w:numPr>
          <w:ilvl w:val="0"/>
          <w:numId w:val="21"/>
        </w:numPr>
        <w:spacing w:afterLines="40" w:line="240" w:lineRule="auto"/>
        <w:contextualSpacing w:val="0"/>
        <w:jc w:val="both"/>
        <w:rPr>
          <w:rFonts w:ascii="Arial" w:hAnsi="Arial" w:cs="Arial"/>
          <w:sz w:val="24"/>
          <w:szCs w:val="24"/>
        </w:rPr>
      </w:pPr>
      <w:r w:rsidRPr="000E7C21">
        <w:rPr>
          <w:rFonts w:ascii="Arial" w:hAnsi="Arial" w:cs="Arial"/>
          <w:sz w:val="24"/>
          <w:szCs w:val="24"/>
        </w:rPr>
        <w:t>Development of varied opportunities through social enterprise</w:t>
      </w:r>
    </w:p>
    <w:p w:rsidR="00C725D9" w:rsidRPr="000E7C21" w:rsidRDefault="00C725D9" w:rsidP="00F72226">
      <w:pPr>
        <w:pStyle w:val="ListParagraph"/>
        <w:numPr>
          <w:ilvl w:val="0"/>
          <w:numId w:val="21"/>
        </w:numPr>
        <w:spacing w:afterLines="40" w:line="240" w:lineRule="auto"/>
        <w:contextualSpacing w:val="0"/>
        <w:jc w:val="both"/>
        <w:rPr>
          <w:rFonts w:ascii="Arial" w:hAnsi="Arial" w:cs="Arial"/>
          <w:sz w:val="24"/>
          <w:szCs w:val="24"/>
        </w:rPr>
      </w:pPr>
      <w:r w:rsidRPr="000E7C21">
        <w:rPr>
          <w:rFonts w:ascii="Arial" w:hAnsi="Arial" w:cs="Arial"/>
          <w:sz w:val="24"/>
          <w:szCs w:val="24"/>
        </w:rPr>
        <w:t xml:space="preserve">Stroud Beresford Group (who also </w:t>
      </w:r>
      <w:proofErr w:type="gramStart"/>
      <w:r w:rsidRPr="000E7C21">
        <w:rPr>
          <w:rFonts w:ascii="Arial" w:hAnsi="Arial" w:cs="Arial"/>
          <w:sz w:val="24"/>
          <w:szCs w:val="24"/>
        </w:rPr>
        <w:t>provide</w:t>
      </w:r>
      <w:proofErr w:type="gramEnd"/>
      <w:r w:rsidRPr="000E7C21">
        <w:rPr>
          <w:rFonts w:ascii="Arial" w:hAnsi="Arial" w:cs="Arial"/>
          <w:sz w:val="24"/>
          <w:szCs w:val="24"/>
        </w:rPr>
        <w:t xml:space="preserve"> the women’s refuge) provide support to young people including domestic abuse support and awareness raising workshops. The Housing Advice Team provide</w:t>
      </w:r>
      <w:r w:rsidR="00BF64AB">
        <w:rPr>
          <w:rFonts w:ascii="Arial" w:hAnsi="Arial" w:cs="Arial"/>
          <w:sz w:val="24"/>
          <w:szCs w:val="24"/>
        </w:rPr>
        <w:t>s</w:t>
      </w:r>
      <w:r w:rsidRPr="000E7C21">
        <w:rPr>
          <w:rFonts w:ascii="Arial" w:hAnsi="Arial" w:cs="Arial"/>
          <w:sz w:val="24"/>
          <w:szCs w:val="24"/>
        </w:rPr>
        <w:t xml:space="preserve"> a grant to the Beresford Group to help them maintain their services.</w:t>
      </w:r>
    </w:p>
    <w:p w:rsidR="00C725D9" w:rsidRDefault="00C725D9" w:rsidP="00F72226">
      <w:pPr>
        <w:pStyle w:val="ListParagraph"/>
        <w:numPr>
          <w:ilvl w:val="0"/>
          <w:numId w:val="21"/>
        </w:numPr>
        <w:spacing w:afterLines="40" w:line="240" w:lineRule="auto"/>
        <w:jc w:val="both"/>
        <w:rPr>
          <w:rFonts w:ascii="Arial" w:hAnsi="Arial" w:cs="Arial"/>
          <w:sz w:val="24"/>
          <w:szCs w:val="24"/>
        </w:rPr>
      </w:pPr>
      <w:r w:rsidRPr="000E7C21">
        <w:rPr>
          <w:rFonts w:ascii="Arial" w:hAnsi="Arial" w:cs="Arial"/>
          <w:sz w:val="24"/>
          <w:szCs w:val="24"/>
        </w:rPr>
        <w:t>Grant provided to youth service to provide starter pack boxes for young people which include bedding and basic toiletries.</w:t>
      </w:r>
    </w:p>
    <w:p w:rsidR="00BF64AB" w:rsidRPr="000E7C21" w:rsidRDefault="00BF64AB" w:rsidP="00F72226">
      <w:pPr>
        <w:pStyle w:val="ListParagraph"/>
        <w:spacing w:afterLines="40" w:line="240" w:lineRule="auto"/>
        <w:ind w:left="360"/>
        <w:jc w:val="both"/>
        <w:rPr>
          <w:rFonts w:ascii="Arial" w:hAnsi="Arial" w:cs="Arial"/>
          <w:sz w:val="24"/>
          <w:szCs w:val="24"/>
        </w:rPr>
      </w:pPr>
    </w:p>
    <w:p w:rsidR="00BF64AB" w:rsidRPr="00BF64AB" w:rsidRDefault="00C725D9" w:rsidP="00F72226">
      <w:pPr>
        <w:pStyle w:val="ListParagraph"/>
        <w:numPr>
          <w:ilvl w:val="0"/>
          <w:numId w:val="21"/>
        </w:numPr>
        <w:spacing w:afterLines="40" w:line="240" w:lineRule="auto"/>
        <w:jc w:val="both"/>
        <w:rPr>
          <w:rFonts w:ascii="Arial" w:hAnsi="Arial" w:cs="Arial"/>
          <w:sz w:val="24"/>
          <w:szCs w:val="24"/>
        </w:rPr>
      </w:pPr>
      <w:r w:rsidRPr="000E7C21">
        <w:rPr>
          <w:rFonts w:ascii="Arial" w:hAnsi="Arial" w:cs="Arial"/>
          <w:sz w:val="24"/>
          <w:szCs w:val="24"/>
        </w:rPr>
        <w:t>To explore the possibility of a weekly housing allowance for families to avoid parental evictions due to hardship.</w:t>
      </w:r>
    </w:p>
    <w:p w:rsidR="00C725D9" w:rsidRPr="000E7C21" w:rsidRDefault="00C725D9" w:rsidP="00F72226">
      <w:pPr>
        <w:pStyle w:val="ListParagraph"/>
        <w:numPr>
          <w:ilvl w:val="0"/>
          <w:numId w:val="21"/>
        </w:numPr>
        <w:spacing w:afterLines="40" w:line="240" w:lineRule="auto"/>
        <w:jc w:val="both"/>
        <w:rPr>
          <w:rFonts w:ascii="Arial" w:hAnsi="Arial" w:cs="Arial"/>
          <w:sz w:val="24"/>
          <w:szCs w:val="24"/>
        </w:rPr>
      </w:pPr>
      <w:r w:rsidRPr="000E7C21">
        <w:rPr>
          <w:rFonts w:ascii="Arial" w:hAnsi="Arial" w:cs="Arial"/>
          <w:sz w:val="24"/>
          <w:szCs w:val="24"/>
        </w:rPr>
        <w:t>To work with and support partner agencies in tenancy training for young people.</w:t>
      </w:r>
    </w:p>
    <w:p w:rsidR="00C725D9" w:rsidRDefault="00C725D9" w:rsidP="00F72226">
      <w:pPr>
        <w:spacing w:afterLines="40" w:line="240" w:lineRule="auto"/>
        <w:ind w:left="720"/>
        <w:jc w:val="both"/>
        <w:rPr>
          <w:rFonts w:ascii="Arial" w:hAnsi="Arial" w:cs="Arial"/>
        </w:rPr>
      </w:pPr>
    </w:p>
    <w:p w:rsidR="00C725D9" w:rsidRDefault="00C725D9" w:rsidP="00F72226">
      <w:pPr>
        <w:spacing w:afterLines="40" w:line="240" w:lineRule="auto"/>
        <w:jc w:val="both"/>
        <w:rPr>
          <w:rFonts w:ascii="Arial" w:hAnsi="Arial" w:cs="Arial"/>
        </w:rPr>
      </w:pPr>
    </w:p>
    <w:p w:rsidR="00C725D9" w:rsidRDefault="00C725D9" w:rsidP="00F72226">
      <w:pPr>
        <w:spacing w:afterLines="40" w:line="240" w:lineRule="auto"/>
        <w:jc w:val="both"/>
        <w:rPr>
          <w:rFonts w:ascii="Arial" w:hAnsi="Arial" w:cs="Arial"/>
        </w:rPr>
      </w:pPr>
    </w:p>
    <w:p w:rsidR="00C725D9" w:rsidRPr="000E7C21" w:rsidRDefault="00C725D9" w:rsidP="00F72226">
      <w:pPr>
        <w:spacing w:afterLines="40" w:line="240" w:lineRule="auto"/>
        <w:jc w:val="both"/>
        <w:rPr>
          <w:rFonts w:ascii="Arial" w:hAnsi="Arial" w:cs="Arial"/>
          <w:sz w:val="24"/>
          <w:szCs w:val="24"/>
          <w:u w:val="single"/>
        </w:rPr>
      </w:pPr>
      <w:proofErr w:type="gramStart"/>
      <w:r w:rsidRPr="000E7C21">
        <w:rPr>
          <w:rFonts w:ascii="Arial" w:hAnsi="Arial" w:cs="Arial"/>
          <w:sz w:val="24"/>
          <w:szCs w:val="24"/>
          <w:u w:val="single"/>
        </w:rPr>
        <w:t>Older People.</w:t>
      </w:r>
      <w:proofErr w:type="gramEnd"/>
    </w:p>
    <w:p w:rsidR="00C725D9" w:rsidRDefault="00C725D9" w:rsidP="00F72226">
      <w:pPr>
        <w:spacing w:afterLines="40" w:line="240" w:lineRule="auto"/>
        <w:jc w:val="both"/>
        <w:rPr>
          <w:rFonts w:ascii="Arial" w:hAnsi="Arial" w:cs="Arial"/>
          <w:sz w:val="24"/>
          <w:szCs w:val="24"/>
        </w:rPr>
      </w:pPr>
    </w:p>
    <w:p w:rsidR="00C725D9" w:rsidRPr="000E7C21" w:rsidRDefault="00C725D9" w:rsidP="00F72226">
      <w:pPr>
        <w:spacing w:afterLines="40" w:line="240" w:lineRule="auto"/>
        <w:jc w:val="both"/>
        <w:rPr>
          <w:rFonts w:ascii="Arial" w:hAnsi="Arial" w:cs="Arial"/>
          <w:sz w:val="24"/>
          <w:szCs w:val="24"/>
        </w:rPr>
      </w:pPr>
      <w:r w:rsidRPr="000E7C21">
        <w:rPr>
          <w:rFonts w:ascii="Arial" w:hAnsi="Arial" w:cs="Arial"/>
          <w:sz w:val="24"/>
          <w:szCs w:val="24"/>
        </w:rPr>
        <w:t>The council is currently reviewing and updating its stock of sheltered housing for people over 60. The Housing Advice Team will support this by:</w:t>
      </w:r>
    </w:p>
    <w:p w:rsidR="00C725D9" w:rsidRPr="000E7C21" w:rsidRDefault="00C725D9" w:rsidP="00F72226">
      <w:pPr>
        <w:pStyle w:val="ListParagraph"/>
        <w:numPr>
          <w:ilvl w:val="0"/>
          <w:numId w:val="52"/>
        </w:numPr>
        <w:spacing w:afterLines="40" w:line="240" w:lineRule="auto"/>
        <w:jc w:val="both"/>
        <w:rPr>
          <w:rFonts w:ascii="Arial" w:hAnsi="Arial" w:cs="Arial"/>
          <w:sz w:val="24"/>
          <w:szCs w:val="24"/>
        </w:rPr>
      </w:pPr>
      <w:r w:rsidRPr="000E7C21">
        <w:rPr>
          <w:rFonts w:ascii="Arial" w:hAnsi="Arial" w:cs="Arial"/>
          <w:sz w:val="24"/>
          <w:szCs w:val="24"/>
        </w:rPr>
        <w:t xml:space="preserve">Housing Advice Manager to provide input by attending meetings of </w:t>
      </w:r>
      <w:r>
        <w:rPr>
          <w:rFonts w:ascii="Arial" w:hAnsi="Arial" w:cs="Arial"/>
          <w:sz w:val="24"/>
          <w:szCs w:val="24"/>
        </w:rPr>
        <w:t xml:space="preserve">the </w:t>
      </w:r>
      <w:r w:rsidRPr="000E7C21">
        <w:rPr>
          <w:rFonts w:ascii="Arial" w:hAnsi="Arial" w:cs="Arial"/>
          <w:sz w:val="24"/>
          <w:szCs w:val="24"/>
        </w:rPr>
        <w:t>Vis</w:t>
      </w:r>
      <w:r>
        <w:rPr>
          <w:rFonts w:ascii="Arial" w:hAnsi="Arial" w:cs="Arial"/>
          <w:sz w:val="24"/>
          <w:szCs w:val="24"/>
        </w:rPr>
        <w:t>i</w:t>
      </w:r>
      <w:r w:rsidRPr="000E7C21">
        <w:rPr>
          <w:rFonts w:ascii="Arial" w:hAnsi="Arial" w:cs="Arial"/>
          <w:sz w:val="24"/>
          <w:szCs w:val="24"/>
        </w:rPr>
        <w:t>on and Strategy</w:t>
      </w:r>
      <w:r>
        <w:rPr>
          <w:rFonts w:ascii="Arial" w:hAnsi="Arial" w:cs="Arial"/>
          <w:sz w:val="24"/>
          <w:szCs w:val="24"/>
        </w:rPr>
        <w:t xml:space="preserve"> group, part of the Sheltered Housing Modernisation Project.</w:t>
      </w:r>
    </w:p>
    <w:p w:rsidR="00C725D9" w:rsidRPr="000E7C21" w:rsidRDefault="00C725D9" w:rsidP="00F72226">
      <w:pPr>
        <w:pStyle w:val="ListParagraph"/>
        <w:numPr>
          <w:ilvl w:val="0"/>
          <w:numId w:val="52"/>
        </w:numPr>
        <w:spacing w:afterLines="40" w:line="240" w:lineRule="auto"/>
        <w:jc w:val="both"/>
        <w:rPr>
          <w:rFonts w:ascii="Arial" w:hAnsi="Arial" w:cs="Arial"/>
          <w:sz w:val="24"/>
          <w:szCs w:val="24"/>
        </w:rPr>
      </w:pPr>
      <w:r w:rsidRPr="000E7C21">
        <w:rPr>
          <w:rFonts w:ascii="Arial" w:hAnsi="Arial" w:cs="Arial"/>
          <w:sz w:val="24"/>
          <w:szCs w:val="24"/>
        </w:rPr>
        <w:t>Provide statistical evidence to guide levels of demand and suitability of accommodation for older people</w:t>
      </w:r>
    </w:p>
    <w:p w:rsidR="00C725D9" w:rsidRDefault="00C725D9" w:rsidP="00F72226">
      <w:pPr>
        <w:spacing w:afterLines="40" w:line="240" w:lineRule="auto"/>
        <w:jc w:val="both"/>
        <w:rPr>
          <w:rFonts w:ascii="Arial" w:hAnsi="Arial" w:cs="Arial"/>
          <w:sz w:val="24"/>
          <w:szCs w:val="24"/>
        </w:rPr>
      </w:pPr>
      <w:r>
        <w:rPr>
          <w:rFonts w:ascii="Arial" w:hAnsi="Arial" w:cs="Arial"/>
          <w:sz w:val="24"/>
          <w:szCs w:val="24"/>
        </w:rPr>
        <w:t>Further measures:</w:t>
      </w:r>
    </w:p>
    <w:p w:rsidR="00C725D9" w:rsidRDefault="00C725D9" w:rsidP="00F72226">
      <w:pPr>
        <w:pStyle w:val="ListParagraph"/>
        <w:numPr>
          <w:ilvl w:val="0"/>
          <w:numId w:val="53"/>
        </w:numPr>
        <w:spacing w:afterLines="40" w:line="240" w:lineRule="auto"/>
        <w:jc w:val="both"/>
        <w:rPr>
          <w:rFonts w:ascii="Arial" w:hAnsi="Arial" w:cs="Arial"/>
          <w:sz w:val="24"/>
          <w:szCs w:val="24"/>
        </w:rPr>
      </w:pPr>
      <w:r>
        <w:rPr>
          <w:rFonts w:ascii="Arial" w:hAnsi="Arial" w:cs="Arial"/>
          <w:sz w:val="24"/>
          <w:szCs w:val="24"/>
        </w:rPr>
        <w:t>To work with Occupational Therapists, other health specialists and housing providers to ensure Disabled Facility Grants are used effectively to enable people to remain in their own homes</w:t>
      </w:r>
    </w:p>
    <w:p w:rsidR="00C725D9" w:rsidRDefault="00C725D9" w:rsidP="00F72226">
      <w:pPr>
        <w:pStyle w:val="ListParagraph"/>
        <w:numPr>
          <w:ilvl w:val="0"/>
          <w:numId w:val="53"/>
        </w:numPr>
        <w:spacing w:afterLines="40" w:line="240" w:lineRule="auto"/>
        <w:jc w:val="both"/>
        <w:rPr>
          <w:rFonts w:ascii="Arial" w:hAnsi="Arial" w:cs="Arial"/>
          <w:sz w:val="24"/>
          <w:szCs w:val="24"/>
        </w:rPr>
      </w:pPr>
      <w:r>
        <w:rPr>
          <w:rFonts w:ascii="Arial" w:hAnsi="Arial" w:cs="Arial"/>
          <w:sz w:val="24"/>
          <w:szCs w:val="24"/>
        </w:rPr>
        <w:t>Creating a web page giving general advice and housing options for older people.</w:t>
      </w:r>
    </w:p>
    <w:p w:rsidR="00C725D9" w:rsidRDefault="00C725D9" w:rsidP="00F72226">
      <w:pPr>
        <w:spacing w:afterLines="40" w:line="240" w:lineRule="auto"/>
        <w:jc w:val="both"/>
        <w:rPr>
          <w:rFonts w:ascii="Arial" w:hAnsi="Arial" w:cs="Arial"/>
          <w:sz w:val="24"/>
          <w:szCs w:val="24"/>
        </w:rPr>
      </w:pPr>
    </w:p>
    <w:p w:rsidR="00C725D9" w:rsidRDefault="00C725D9" w:rsidP="00F72226">
      <w:pPr>
        <w:spacing w:afterLines="40" w:line="240" w:lineRule="auto"/>
        <w:jc w:val="both"/>
        <w:rPr>
          <w:rFonts w:ascii="Arial" w:hAnsi="Arial" w:cs="Arial"/>
          <w:sz w:val="24"/>
          <w:szCs w:val="24"/>
          <w:u w:val="single"/>
        </w:rPr>
      </w:pPr>
    </w:p>
    <w:p w:rsidR="00C725D9" w:rsidRDefault="00C725D9" w:rsidP="00F72226">
      <w:pPr>
        <w:spacing w:afterLines="40" w:line="240" w:lineRule="auto"/>
        <w:jc w:val="both"/>
        <w:rPr>
          <w:rFonts w:ascii="Arial" w:hAnsi="Arial" w:cs="Arial"/>
          <w:sz w:val="24"/>
          <w:szCs w:val="24"/>
          <w:u w:val="single"/>
        </w:rPr>
      </w:pPr>
      <w:proofErr w:type="gramStart"/>
      <w:r>
        <w:rPr>
          <w:rFonts w:ascii="Arial" w:hAnsi="Arial" w:cs="Arial"/>
          <w:sz w:val="24"/>
          <w:szCs w:val="24"/>
          <w:u w:val="single"/>
        </w:rPr>
        <w:t>Increasing Housing Supply.</w:t>
      </w:r>
      <w:proofErr w:type="gramEnd"/>
    </w:p>
    <w:p w:rsidR="00C725D9" w:rsidRDefault="00C725D9" w:rsidP="00F72226">
      <w:pPr>
        <w:spacing w:afterLines="40" w:line="240" w:lineRule="auto"/>
        <w:jc w:val="both"/>
        <w:rPr>
          <w:rFonts w:ascii="Arial" w:hAnsi="Arial" w:cs="Arial"/>
          <w:sz w:val="24"/>
          <w:szCs w:val="24"/>
        </w:rPr>
      </w:pPr>
    </w:p>
    <w:p w:rsidR="00C725D9" w:rsidRDefault="00C725D9" w:rsidP="00F72226">
      <w:pPr>
        <w:spacing w:afterLines="40" w:line="240" w:lineRule="auto"/>
        <w:jc w:val="both"/>
        <w:rPr>
          <w:rFonts w:ascii="Arial" w:hAnsi="Arial" w:cs="Arial"/>
          <w:sz w:val="24"/>
          <w:szCs w:val="24"/>
        </w:rPr>
      </w:pPr>
      <w:r>
        <w:rPr>
          <w:rFonts w:ascii="Arial" w:hAnsi="Arial" w:cs="Arial"/>
          <w:sz w:val="24"/>
          <w:szCs w:val="24"/>
        </w:rPr>
        <w:t>Stroud District Council is approaching the end of a £19 million pound project to build more than 235 new council homes, the first for decades. The government has now relaxed regulation to allow councils to borrow more to build new council homes so a further building project is being developed. The Housing Advice Manager was involved in the initial project and will:</w:t>
      </w:r>
    </w:p>
    <w:p w:rsidR="00C725D9" w:rsidRDefault="00C725D9" w:rsidP="00F72226">
      <w:pPr>
        <w:pStyle w:val="ListParagraph"/>
        <w:numPr>
          <w:ilvl w:val="0"/>
          <w:numId w:val="54"/>
        </w:numPr>
        <w:spacing w:afterLines="40" w:line="240" w:lineRule="auto"/>
        <w:jc w:val="both"/>
        <w:rPr>
          <w:rFonts w:ascii="Arial" w:hAnsi="Arial" w:cs="Arial"/>
          <w:sz w:val="24"/>
          <w:szCs w:val="24"/>
        </w:rPr>
      </w:pPr>
      <w:r>
        <w:rPr>
          <w:rFonts w:ascii="Arial" w:hAnsi="Arial" w:cs="Arial"/>
          <w:sz w:val="24"/>
          <w:szCs w:val="24"/>
        </w:rPr>
        <w:t>Attend future meetings of the project to influence the level and types of properties being built to ensure they match demand.</w:t>
      </w:r>
    </w:p>
    <w:p w:rsidR="00C725D9" w:rsidRDefault="00C725D9" w:rsidP="00F72226">
      <w:pPr>
        <w:pStyle w:val="ListParagraph"/>
        <w:numPr>
          <w:ilvl w:val="0"/>
          <w:numId w:val="54"/>
        </w:numPr>
        <w:spacing w:afterLines="40" w:line="240" w:lineRule="auto"/>
        <w:jc w:val="both"/>
        <w:rPr>
          <w:rFonts w:ascii="Arial" w:hAnsi="Arial" w:cs="Arial"/>
          <w:sz w:val="24"/>
          <w:szCs w:val="24"/>
        </w:rPr>
      </w:pPr>
      <w:r>
        <w:rPr>
          <w:rFonts w:ascii="Arial" w:hAnsi="Arial" w:cs="Arial"/>
          <w:sz w:val="24"/>
          <w:szCs w:val="24"/>
        </w:rPr>
        <w:t>Provide data from the housing register to inform the above.</w:t>
      </w:r>
    </w:p>
    <w:p w:rsidR="00C725D9" w:rsidRDefault="00C725D9" w:rsidP="00F72226">
      <w:pPr>
        <w:pStyle w:val="ListParagraph"/>
        <w:numPr>
          <w:ilvl w:val="0"/>
          <w:numId w:val="54"/>
        </w:numPr>
        <w:spacing w:afterLines="40" w:line="240" w:lineRule="auto"/>
        <w:jc w:val="both"/>
        <w:rPr>
          <w:rFonts w:ascii="Arial" w:hAnsi="Arial" w:cs="Arial"/>
          <w:sz w:val="24"/>
          <w:szCs w:val="24"/>
        </w:rPr>
      </w:pPr>
      <w:r>
        <w:rPr>
          <w:rFonts w:ascii="Arial" w:hAnsi="Arial" w:cs="Arial"/>
          <w:sz w:val="24"/>
          <w:szCs w:val="24"/>
        </w:rPr>
        <w:t>Will also attend development meetings with Registered Providers to influence types and locations for new build to ensure they meet highest demand.</w:t>
      </w:r>
    </w:p>
    <w:p w:rsidR="00C725D9" w:rsidRDefault="00C725D9" w:rsidP="00F72226">
      <w:pPr>
        <w:pStyle w:val="ListParagraph"/>
        <w:numPr>
          <w:ilvl w:val="0"/>
          <w:numId w:val="54"/>
        </w:numPr>
        <w:spacing w:afterLines="40" w:line="240" w:lineRule="auto"/>
        <w:jc w:val="both"/>
        <w:rPr>
          <w:rFonts w:ascii="Arial" w:hAnsi="Arial" w:cs="Arial"/>
          <w:sz w:val="24"/>
          <w:szCs w:val="24"/>
        </w:rPr>
      </w:pPr>
      <w:r>
        <w:rPr>
          <w:rFonts w:ascii="Arial" w:hAnsi="Arial" w:cs="Arial"/>
          <w:sz w:val="24"/>
          <w:szCs w:val="24"/>
        </w:rPr>
        <w:t>Provide a contribution to the Housing Strategy.</w:t>
      </w:r>
    </w:p>
    <w:p w:rsidR="00C725D9" w:rsidRDefault="00C725D9" w:rsidP="00F72226">
      <w:pPr>
        <w:spacing w:afterLines="40" w:line="240" w:lineRule="auto"/>
        <w:ind w:left="720"/>
        <w:jc w:val="both"/>
        <w:rPr>
          <w:rFonts w:ascii="Arial" w:hAnsi="Arial" w:cs="Arial"/>
          <w:sz w:val="24"/>
          <w:szCs w:val="24"/>
        </w:rPr>
      </w:pPr>
    </w:p>
    <w:p w:rsidR="00C725D9" w:rsidRDefault="00C725D9" w:rsidP="00F72226">
      <w:pPr>
        <w:spacing w:afterLines="40" w:line="240" w:lineRule="auto"/>
        <w:jc w:val="both"/>
        <w:rPr>
          <w:rFonts w:ascii="Arial" w:hAnsi="Arial" w:cs="Arial"/>
          <w:sz w:val="24"/>
          <w:szCs w:val="24"/>
        </w:rPr>
      </w:pPr>
    </w:p>
    <w:p w:rsidR="00C725D9" w:rsidRDefault="00C725D9" w:rsidP="00F72226">
      <w:pPr>
        <w:spacing w:afterLines="40" w:line="240" w:lineRule="auto"/>
        <w:jc w:val="both"/>
        <w:rPr>
          <w:rFonts w:ascii="Arial" w:hAnsi="Arial" w:cs="Arial"/>
          <w:sz w:val="24"/>
          <w:szCs w:val="24"/>
          <w:u w:val="single"/>
        </w:rPr>
      </w:pPr>
      <w:proofErr w:type="gramStart"/>
      <w:r w:rsidRPr="00D95115">
        <w:rPr>
          <w:rFonts w:ascii="Arial" w:hAnsi="Arial" w:cs="Arial"/>
          <w:sz w:val="24"/>
          <w:szCs w:val="24"/>
          <w:u w:val="single"/>
        </w:rPr>
        <w:t>Health and Wellbeing.</w:t>
      </w:r>
      <w:proofErr w:type="gramEnd"/>
    </w:p>
    <w:p w:rsidR="00C725D9" w:rsidRDefault="00C725D9" w:rsidP="00F72226">
      <w:pPr>
        <w:spacing w:afterLines="40" w:line="240" w:lineRule="auto"/>
        <w:jc w:val="both"/>
        <w:rPr>
          <w:rFonts w:ascii="Arial" w:hAnsi="Arial" w:cs="Arial"/>
          <w:sz w:val="24"/>
          <w:szCs w:val="24"/>
          <w:u w:val="single"/>
        </w:rPr>
      </w:pPr>
    </w:p>
    <w:p w:rsidR="00C725D9" w:rsidRPr="007606CF" w:rsidRDefault="00C725D9" w:rsidP="00F72226">
      <w:pPr>
        <w:spacing w:afterLines="40" w:line="240" w:lineRule="auto"/>
        <w:jc w:val="both"/>
        <w:rPr>
          <w:rFonts w:ascii="Arial" w:hAnsi="Arial" w:cs="Arial"/>
          <w:sz w:val="24"/>
          <w:szCs w:val="24"/>
        </w:rPr>
      </w:pPr>
      <w:r w:rsidRPr="007606CF">
        <w:rPr>
          <w:rFonts w:ascii="Arial" w:hAnsi="Arial" w:cs="Arial"/>
          <w:sz w:val="24"/>
          <w:szCs w:val="24"/>
        </w:rPr>
        <w:t>Housing and homelessness are strongly linked to health and wellbeing and much of what we already do and plan to do in the future will be covered under other headings such as rough sleeping and domestic abuse.</w:t>
      </w:r>
    </w:p>
    <w:p w:rsidR="00C725D9" w:rsidRDefault="00C725D9" w:rsidP="00F72226">
      <w:pPr>
        <w:pStyle w:val="ListParagraph"/>
        <w:numPr>
          <w:ilvl w:val="0"/>
          <w:numId w:val="55"/>
        </w:numPr>
        <w:spacing w:afterLines="40" w:line="240" w:lineRule="auto"/>
        <w:jc w:val="both"/>
        <w:rPr>
          <w:rFonts w:ascii="Arial" w:hAnsi="Arial" w:cs="Arial"/>
          <w:sz w:val="24"/>
          <w:szCs w:val="24"/>
        </w:rPr>
      </w:pPr>
      <w:r>
        <w:rPr>
          <w:rFonts w:ascii="Arial" w:hAnsi="Arial" w:cs="Arial"/>
          <w:sz w:val="24"/>
          <w:szCs w:val="24"/>
        </w:rPr>
        <w:t>Member of Housing Advice Team attends Health and Wellbeing partnership meetings.</w:t>
      </w:r>
    </w:p>
    <w:p w:rsidR="00C725D9" w:rsidRDefault="00C725D9" w:rsidP="00F72226">
      <w:pPr>
        <w:pStyle w:val="ListParagraph"/>
        <w:numPr>
          <w:ilvl w:val="0"/>
          <w:numId w:val="55"/>
        </w:numPr>
        <w:spacing w:afterLines="40" w:line="240" w:lineRule="auto"/>
        <w:jc w:val="both"/>
        <w:rPr>
          <w:rFonts w:ascii="Arial" w:hAnsi="Arial" w:cs="Arial"/>
          <w:sz w:val="24"/>
          <w:szCs w:val="24"/>
        </w:rPr>
      </w:pPr>
      <w:r>
        <w:rPr>
          <w:rFonts w:ascii="Arial" w:hAnsi="Arial" w:cs="Arial"/>
          <w:sz w:val="24"/>
          <w:szCs w:val="24"/>
        </w:rPr>
        <w:t>Agreed move-on priority for tenants of Rethink Mental Illness accommodation. They have 13 units of independent supported housing at Eagle Mill Close in Stroud. By agreeing move-on priority it ensures the properties are used for those with the greatest need.</w:t>
      </w:r>
    </w:p>
    <w:p w:rsidR="00C725D9" w:rsidRDefault="00C725D9" w:rsidP="00F72226">
      <w:pPr>
        <w:pStyle w:val="ListParagraph"/>
        <w:numPr>
          <w:ilvl w:val="0"/>
          <w:numId w:val="55"/>
        </w:numPr>
        <w:spacing w:afterLines="40" w:line="240" w:lineRule="auto"/>
        <w:jc w:val="both"/>
        <w:rPr>
          <w:rFonts w:ascii="Arial" w:hAnsi="Arial" w:cs="Arial"/>
          <w:sz w:val="24"/>
          <w:szCs w:val="24"/>
        </w:rPr>
      </w:pPr>
      <w:r>
        <w:rPr>
          <w:rFonts w:ascii="Arial" w:hAnsi="Arial" w:cs="Arial"/>
          <w:sz w:val="24"/>
          <w:szCs w:val="24"/>
        </w:rPr>
        <w:t>Advertising Housing Advice services in Community Care Guide magazine – distributed to GP surgeries and health centres throughout the District.</w:t>
      </w:r>
    </w:p>
    <w:p w:rsidR="00C725D9" w:rsidRDefault="00C725D9" w:rsidP="00C725D9">
      <w:pPr>
        <w:pStyle w:val="ListParagraph"/>
        <w:numPr>
          <w:ilvl w:val="0"/>
          <w:numId w:val="22"/>
        </w:numPr>
        <w:autoSpaceDE w:val="0"/>
        <w:autoSpaceDN w:val="0"/>
        <w:adjustRightInd w:val="0"/>
        <w:spacing w:after="80" w:line="240" w:lineRule="auto"/>
        <w:ind w:left="714" w:hanging="357"/>
        <w:contextualSpacing w:val="0"/>
        <w:jc w:val="both"/>
        <w:rPr>
          <w:rFonts w:ascii="Arial" w:hAnsi="Arial" w:cs="Arial"/>
          <w:sz w:val="24"/>
          <w:szCs w:val="24"/>
        </w:rPr>
      </w:pPr>
      <w:r>
        <w:rPr>
          <w:rFonts w:ascii="Arial" w:hAnsi="Arial" w:cs="Arial"/>
          <w:sz w:val="24"/>
          <w:szCs w:val="24"/>
        </w:rPr>
        <w:t xml:space="preserve">Developing and strengthening links with </w:t>
      </w:r>
      <w:r w:rsidRPr="00D45DE7">
        <w:rPr>
          <w:rFonts w:ascii="Arial" w:hAnsi="Arial" w:cs="Arial"/>
          <w:sz w:val="24"/>
          <w:szCs w:val="24"/>
        </w:rPr>
        <w:t xml:space="preserve">health and wellbeing agencies such as </w:t>
      </w:r>
      <w:r w:rsidR="006D71E7">
        <w:rPr>
          <w:rFonts w:ascii="Arial" w:hAnsi="Arial" w:cs="Arial"/>
          <w:sz w:val="24"/>
          <w:szCs w:val="24"/>
        </w:rPr>
        <w:t>community partners (</w:t>
      </w:r>
      <w:r w:rsidRPr="00D45DE7">
        <w:rPr>
          <w:rFonts w:ascii="Arial" w:hAnsi="Arial" w:cs="Arial"/>
          <w:sz w:val="24"/>
          <w:szCs w:val="24"/>
        </w:rPr>
        <w:t>social prescribers</w:t>
      </w:r>
      <w:r w:rsidR="006D71E7">
        <w:rPr>
          <w:rFonts w:ascii="Arial" w:hAnsi="Arial" w:cs="Arial"/>
          <w:sz w:val="24"/>
          <w:szCs w:val="24"/>
        </w:rPr>
        <w:t>)</w:t>
      </w:r>
      <w:r w:rsidRPr="00D45DE7">
        <w:rPr>
          <w:rFonts w:ascii="Arial" w:hAnsi="Arial" w:cs="Arial"/>
          <w:sz w:val="24"/>
          <w:szCs w:val="24"/>
        </w:rPr>
        <w:t>, practice nurses, health visitors and mental health teams. We have also invited them to training sessions which help build good relationships as well as helping to ensure accurate advice is given at the earliest opportunity.</w:t>
      </w:r>
    </w:p>
    <w:p w:rsidR="00C725D9" w:rsidRPr="005D60E3" w:rsidRDefault="00C725D9" w:rsidP="00C725D9">
      <w:pPr>
        <w:pStyle w:val="ListParagraph"/>
        <w:numPr>
          <w:ilvl w:val="0"/>
          <w:numId w:val="22"/>
        </w:numPr>
        <w:autoSpaceDE w:val="0"/>
        <w:autoSpaceDN w:val="0"/>
        <w:adjustRightInd w:val="0"/>
        <w:spacing w:after="80" w:line="240" w:lineRule="auto"/>
        <w:ind w:left="714" w:hanging="357"/>
        <w:contextualSpacing w:val="0"/>
        <w:jc w:val="both"/>
        <w:rPr>
          <w:rFonts w:ascii="Arial" w:hAnsi="Arial" w:cs="Arial"/>
          <w:sz w:val="24"/>
          <w:szCs w:val="24"/>
        </w:rPr>
      </w:pPr>
      <w:r w:rsidRPr="005D60E3">
        <w:rPr>
          <w:rFonts w:ascii="Arial" w:hAnsi="Arial" w:cs="Arial"/>
          <w:sz w:val="24"/>
          <w:szCs w:val="24"/>
        </w:rPr>
        <w:t xml:space="preserve">Implementation of the Homeless time to Heal project between </w:t>
      </w:r>
      <w:proofErr w:type="spellStart"/>
      <w:r w:rsidRPr="005D60E3">
        <w:rPr>
          <w:rFonts w:ascii="Arial" w:hAnsi="Arial" w:cs="Arial"/>
          <w:sz w:val="24"/>
          <w:szCs w:val="24"/>
        </w:rPr>
        <w:t>Elim</w:t>
      </w:r>
      <w:proofErr w:type="spellEnd"/>
      <w:r w:rsidRPr="005D60E3">
        <w:rPr>
          <w:rFonts w:ascii="Arial" w:hAnsi="Arial" w:cs="Arial"/>
          <w:sz w:val="24"/>
          <w:szCs w:val="24"/>
        </w:rPr>
        <w:t xml:space="preserve"> Housing and</w:t>
      </w:r>
      <w:r w:rsidR="00610D8E">
        <w:rPr>
          <w:rFonts w:ascii="Arial" w:hAnsi="Arial" w:cs="Arial"/>
          <w:sz w:val="24"/>
          <w:szCs w:val="24"/>
        </w:rPr>
        <w:t xml:space="preserve"> both</w:t>
      </w:r>
      <w:r w:rsidRPr="005D60E3">
        <w:rPr>
          <w:rFonts w:ascii="Arial" w:hAnsi="Arial" w:cs="Arial"/>
          <w:sz w:val="24"/>
          <w:szCs w:val="24"/>
        </w:rPr>
        <w:t xml:space="preserve"> Gloucester Royal Hospital</w:t>
      </w:r>
      <w:r w:rsidR="00610D8E">
        <w:rPr>
          <w:rFonts w:ascii="Arial" w:hAnsi="Arial" w:cs="Arial"/>
          <w:sz w:val="24"/>
          <w:szCs w:val="24"/>
        </w:rPr>
        <w:t xml:space="preserve"> and Wotton Lawn Hospital</w:t>
      </w:r>
      <w:r w:rsidRPr="005D60E3">
        <w:rPr>
          <w:rFonts w:ascii="Arial" w:hAnsi="Arial" w:cs="Arial"/>
          <w:sz w:val="24"/>
          <w:szCs w:val="24"/>
        </w:rPr>
        <w:t xml:space="preserve"> to identify single people who are homeless and about to be discharged and ensure they have appropriate accommodation and support. </w:t>
      </w:r>
    </w:p>
    <w:p w:rsidR="00C725D9" w:rsidRPr="003E71DB" w:rsidRDefault="00C725D9" w:rsidP="00C725D9">
      <w:pPr>
        <w:autoSpaceDE w:val="0"/>
        <w:autoSpaceDN w:val="0"/>
        <w:adjustRightInd w:val="0"/>
        <w:spacing w:after="80" w:line="240" w:lineRule="auto"/>
        <w:ind w:left="357"/>
        <w:jc w:val="both"/>
        <w:rPr>
          <w:rFonts w:ascii="Arial" w:hAnsi="Arial" w:cs="Arial"/>
          <w:sz w:val="24"/>
          <w:szCs w:val="24"/>
        </w:rPr>
      </w:pPr>
    </w:p>
    <w:p w:rsidR="00C725D9" w:rsidRDefault="00C725D9" w:rsidP="00F72226">
      <w:pPr>
        <w:pStyle w:val="ListParagraph"/>
        <w:numPr>
          <w:ilvl w:val="0"/>
          <w:numId w:val="55"/>
        </w:numPr>
        <w:spacing w:afterLines="40" w:line="240" w:lineRule="auto"/>
        <w:jc w:val="both"/>
        <w:rPr>
          <w:rFonts w:ascii="Arial" w:hAnsi="Arial" w:cs="Arial"/>
          <w:sz w:val="24"/>
          <w:szCs w:val="24"/>
        </w:rPr>
      </w:pPr>
      <w:r>
        <w:rPr>
          <w:rFonts w:ascii="Arial" w:hAnsi="Arial" w:cs="Arial"/>
          <w:sz w:val="24"/>
          <w:szCs w:val="24"/>
        </w:rPr>
        <w:t>Promoting the Duty to Refer brought in with the Homeless Reduction Act 2017 to health and wellbeing agencies so those at risk of homelessness are identified and contacted at the earliest opportunity.</w:t>
      </w:r>
    </w:p>
    <w:p w:rsidR="00C725D9" w:rsidRDefault="00C725D9" w:rsidP="00F72226">
      <w:pPr>
        <w:pStyle w:val="ListParagraph"/>
        <w:numPr>
          <w:ilvl w:val="0"/>
          <w:numId w:val="55"/>
        </w:numPr>
        <w:spacing w:afterLines="40" w:line="240" w:lineRule="auto"/>
        <w:jc w:val="both"/>
        <w:rPr>
          <w:rFonts w:ascii="Arial" w:hAnsi="Arial" w:cs="Arial"/>
          <w:sz w:val="24"/>
          <w:szCs w:val="24"/>
        </w:rPr>
      </w:pPr>
      <w:r>
        <w:rPr>
          <w:rFonts w:ascii="Arial" w:hAnsi="Arial" w:cs="Arial"/>
          <w:sz w:val="24"/>
          <w:szCs w:val="24"/>
        </w:rPr>
        <w:t xml:space="preserve">Grant funding to the Furniture Bank to ensure homeless households have access to basic furniture when </w:t>
      </w:r>
      <w:proofErr w:type="spellStart"/>
      <w:r>
        <w:rPr>
          <w:rFonts w:ascii="Arial" w:hAnsi="Arial" w:cs="Arial"/>
          <w:sz w:val="24"/>
          <w:szCs w:val="24"/>
        </w:rPr>
        <w:t>rehoused</w:t>
      </w:r>
      <w:proofErr w:type="spellEnd"/>
      <w:r>
        <w:rPr>
          <w:rFonts w:ascii="Arial" w:hAnsi="Arial" w:cs="Arial"/>
          <w:sz w:val="24"/>
          <w:szCs w:val="24"/>
        </w:rPr>
        <w:t>.</w:t>
      </w:r>
    </w:p>
    <w:p w:rsidR="00C725D9" w:rsidRDefault="00C725D9" w:rsidP="00F72226">
      <w:pPr>
        <w:pStyle w:val="ListParagraph"/>
        <w:numPr>
          <w:ilvl w:val="0"/>
          <w:numId w:val="55"/>
        </w:numPr>
        <w:spacing w:afterLines="40" w:line="240" w:lineRule="auto"/>
        <w:jc w:val="both"/>
        <w:rPr>
          <w:rFonts w:ascii="Arial" w:hAnsi="Arial" w:cs="Arial"/>
          <w:sz w:val="24"/>
          <w:szCs w:val="24"/>
        </w:rPr>
      </w:pPr>
      <w:r>
        <w:rPr>
          <w:rFonts w:ascii="Arial" w:hAnsi="Arial" w:cs="Arial"/>
          <w:sz w:val="24"/>
          <w:szCs w:val="24"/>
        </w:rPr>
        <w:t xml:space="preserve">Developing and strengthening links with Change, Grow, Live, </w:t>
      </w:r>
      <w:proofErr w:type="gramStart"/>
      <w:r>
        <w:rPr>
          <w:rFonts w:ascii="Arial" w:hAnsi="Arial" w:cs="Arial"/>
          <w:sz w:val="24"/>
          <w:szCs w:val="24"/>
        </w:rPr>
        <w:t>the</w:t>
      </w:r>
      <w:proofErr w:type="gramEnd"/>
      <w:r>
        <w:rPr>
          <w:rFonts w:ascii="Arial" w:hAnsi="Arial" w:cs="Arial"/>
          <w:sz w:val="24"/>
          <w:szCs w:val="24"/>
        </w:rPr>
        <w:t xml:space="preserve"> countywide organisation providing support to people with drug and alcohol problems.</w:t>
      </w:r>
    </w:p>
    <w:p w:rsidR="00C725D9" w:rsidRDefault="00C725D9" w:rsidP="00F72226">
      <w:pPr>
        <w:pStyle w:val="ListParagraph"/>
        <w:numPr>
          <w:ilvl w:val="0"/>
          <w:numId w:val="55"/>
        </w:numPr>
        <w:spacing w:afterLines="40" w:line="240" w:lineRule="auto"/>
        <w:jc w:val="both"/>
        <w:rPr>
          <w:rFonts w:ascii="Arial" w:hAnsi="Arial" w:cs="Arial"/>
          <w:sz w:val="24"/>
          <w:szCs w:val="24"/>
        </w:rPr>
      </w:pPr>
      <w:r>
        <w:rPr>
          <w:rFonts w:ascii="Arial" w:hAnsi="Arial" w:cs="Arial"/>
          <w:sz w:val="24"/>
          <w:szCs w:val="24"/>
        </w:rPr>
        <w:t>Grant funding to Ebenezer, an organisation that provides accommodation and support in gaining employment for people with addiction problems.</w:t>
      </w:r>
    </w:p>
    <w:p w:rsidR="00C725D9" w:rsidRDefault="00C725D9" w:rsidP="00F72226">
      <w:pPr>
        <w:pStyle w:val="ListParagraph"/>
        <w:numPr>
          <w:ilvl w:val="0"/>
          <w:numId w:val="55"/>
        </w:numPr>
        <w:spacing w:afterLines="40" w:line="240" w:lineRule="auto"/>
        <w:jc w:val="both"/>
        <w:rPr>
          <w:rFonts w:ascii="Arial" w:hAnsi="Arial" w:cs="Arial"/>
          <w:sz w:val="24"/>
          <w:szCs w:val="24"/>
        </w:rPr>
      </w:pPr>
      <w:r>
        <w:rPr>
          <w:rFonts w:ascii="Arial" w:hAnsi="Arial" w:cs="Arial"/>
          <w:sz w:val="24"/>
          <w:szCs w:val="24"/>
        </w:rPr>
        <w:t>Grant funding to the MARAH Trust, a local charity that provides support and practical help (food, transport to other agencies etc.).</w:t>
      </w:r>
    </w:p>
    <w:p w:rsidR="00C725D9" w:rsidRDefault="00C725D9" w:rsidP="00F72226">
      <w:pPr>
        <w:spacing w:afterLines="40" w:line="240" w:lineRule="auto"/>
        <w:ind w:left="720"/>
        <w:jc w:val="both"/>
        <w:rPr>
          <w:rFonts w:ascii="Arial" w:hAnsi="Arial" w:cs="Arial"/>
          <w:sz w:val="24"/>
          <w:szCs w:val="24"/>
        </w:rPr>
      </w:pPr>
    </w:p>
    <w:p w:rsidR="00C725D9" w:rsidRDefault="00C725D9" w:rsidP="00F72226">
      <w:pPr>
        <w:spacing w:afterLines="40" w:line="240" w:lineRule="auto"/>
        <w:jc w:val="both"/>
        <w:rPr>
          <w:rFonts w:ascii="Arial" w:hAnsi="Arial" w:cs="Arial"/>
          <w:sz w:val="24"/>
          <w:szCs w:val="24"/>
        </w:rPr>
      </w:pPr>
    </w:p>
    <w:p w:rsidR="00C725D9" w:rsidRDefault="00C725D9" w:rsidP="00F72226">
      <w:pPr>
        <w:spacing w:afterLines="40" w:line="240" w:lineRule="auto"/>
        <w:jc w:val="both"/>
        <w:rPr>
          <w:rFonts w:ascii="Arial" w:hAnsi="Arial" w:cs="Arial"/>
          <w:sz w:val="24"/>
          <w:szCs w:val="24"/>
          <w:u w:val="single"/>
        </w:rPr>
      </w:pPr>
      <w:proofErr w:type="gramStart"/>
      <w:r>
        <w:rPr>
          <w:rFonts w:ascii="Arial" w:hAnsi="Arial" w:cs="Arial"/>
          <w:sz w:val="24"/>
          <w:szCs w:val="24"/>
          <w:u w:val="single"/>
        </w:rPr>
        <w:t>Temporary Accommodation.</w:t>
      </w:r>
      <w:proofErr w:type="gramEnd"/>
    </w:p>
    <w:p w:rsidR="00C725D9" w:rsidRDefault="00C725D9" w:rsidP="00F72226">
      <w:pPr>
        <w:spacing w:afterLines="40" w:line="240" w:lineRule="auto"/>
        <w:jc w:val="both"/>
        <w:rPr>
          <w:rFonts w:ascii="Arial" w:hAnsi="Arial" w:cs="Arial"/>
          <w:sz w:val="24"/>
          <w:szCs w:val="24"/>
          <w:u w:val="single"/>
        </w:rPr>
      </w:pPr>
    </w:p>
    <w:p w:rsidR="00C725D9" w:rsidRDefault="00C725D9" w:rsidP="00F72226">
      <w:pPr>
        <w:spacing w:afterLines="40" w:line="240" w:lineRule="auto"/>
        <w:jc w:val="both"/>
        <w:rPr>
          <w:rFonts w:ascii="Arial" w:hAnsi="Arial" w:cs="Arial"/>
          <w:sz w:val="24"/>
          <w:szCs w:val="24"/>
        </w:rPr>
      </w:pPr>
      <w:r w:rsidRPr="004E04B0">
        <w:rPr>
          <w:rFonts w:ascii="Arial" w:hAnsi="Arial" w:cs="Arial"/>
          <w:sz w:val="24"/>
          <w:szCs w:val="24"/>
        </w:rPr>
        <w:t xml:space="preserve">Due to increasing </w:t>
      </w:r>
      <w:r>
        <w:rPr>
          <w:rFonts w:ascii="Arial" w:hAnsi="Arial" w:cs="Arial"/>
          <w:sz w:val="24"/>
          <w:szCs w:val="24"/>
        </w:rPr>
        <w:t>demand, and lengthier stays in temporary accommodation, we will improve the quantity and quality of available temporary accommodation, as well as sourcing more accommodation within the District. We will also aim to eliminate the use of bed and breakfast type accommodation for families for longer than six weeks, and reduce or stabilise overall costs.</w:t>
      </w:r>
    </w:p>
    <w:p w:rsidR="00C725D9" w:rsidRDefault="00C725D9" w:rsidP="00F72226">
      <w:pPr>
        <w:spacing w:afterLines="40" w:line="240" w:lineRule="auto"/>
        <w:jc w:val="both"/>
        <w:rPr>
          <w:rFonts w:ascii="Arial" w:hAnsi="Arial" w:cs="Arial"/>
          <w:sz w:val="24"/>
          <w:szCs w:val="24"/>
        </w:rPr>
      </w:pPr>
    </w:p>
    <w:p w:rsidR="00C725D9" w:rsidRDefault="00C725D9" w:rsidP="00F72226">
      <w:pPr>
        <w:pStyle w:val="ListParagraph"/>
        <w:numPr>
          <w:ilvl w:val="0"/>
          <w:numId w:val="56"/>
        </w:numPr>
        <w:spacing w:afterLines="40" w:line="240" w:lineRule="auto"/>
        <w:jc w:val="both"/>
        <w:rPr>
          <w:rFonts w:ascii="Arial" w:hAnsi="Arial" w:cs="Arial"/>
          <w:sz w:val="24"/>
          <w:szCs w:val="24"/>
        </w:rPr>
      </w:pPr>
      <w:r>
        <w:rPr>
          <w:rFonts w:ascii="Arial" w:hAnsi="Arial" w:cs="Arial"/>
          <w:sz w:val="24"/>
          <w:szCs w:val="24"/>
        </w:rPr>
        <w:t>Continue to source high quality temporary accommodation through private sector companies in or close to Stroud District</w:t>
      </w:r>
    </w:p>
    <w:p w:rsidR="00C725D9" w:rsidRDefault="00C725D9" w:rsidP="00F72226">
      <w:pPr>
        <w:pStyle w:val="ListParagraph"/>
        <w:numPr>
          <w:ilvl w:val="0"/>
          <w:numId w:val="56"/>
        </w:numPr>
        <w:spacing w:afterLines="40" w:line="240" w:lineRule="auto"/>
        <w:jc w:val="both"/>
        <w:rPr>
          <w:rFonts w:ascii="Arial" w:hAnsi="Arial" w:cs="Arial"/>
          <w:sz w:val="24"/>
          <w:szCs w:val="24"/>
        </w:rPr>
      </w:pPr>
      <w:r>
        <w:rPr>
          <w:rFonts w:ascii="Arial" w:hAnsi="Arial" w:cs="Arial"/>
          <w:sz w:val="24"/>
          <w:szCs w:val="24"/>
        </w:rPr>
        <w:t>To continue to work with landlords of currently used accommodation to improve the quality of that accommodation by conducting regular visits.</w:t>
      </w:r>
    </w:p>
    <w:p w:rsidR="00C725D9" w:rsidRDefault="00C725D9" w:rsidP="00F72226">
      <w:pPr>
        <w:pStyle w:val="ListParagraph"/>
        <w:numPr>
          <w:ilvl w:val="0"/>
          <w:numId w:val="56"/>
        </w:numPr>
        <w:spacing w:afterLines="40" w:line="240" w:lineRule="auto"/>
        <w:jc w:val="both"/>
        <w:rPr>
          <w:rFonts w:ascii="Arial" w:hAnsi="Arial" w:cs="Arial"/>
          <w:sz w:val="24"/>
          <w:szCs w:val="24"/>
        </w:rPr>
      </w:pPr>
      <w:r>
        <w:rPr>
          <w:rFonts w:ascii="Arial" w:hAnsi="Arial" w:cs="Arial"/>
          <w:sz w:val="24"/>
          <w:szCs w:val="24"/>
        </w:rPr>
        <w:t>Monitor the use of a council property that has recently been converted for use as temporary accommodation, with the aim of utilising further properties for use, if successful.</w:t>
      </w:r>
    </w:p>
    <w:p w:rsidR="00C725D9" w:rsidRDefault="00C725D9" w:rsidP="00F72226">
      <w:pPr>
        <w:pStyle w:val="ListParagraph"/>
        <w:numPr>
          <w:ilvl w:val="0"/>
          <w:numId w:val="56"/>
        </w:numPr>
        <w:spacing w:afterLines="40" w:line="240" w:lineRule="auto"/>
        <w:jc w:val="both"/>
        <w:rPr>
          <w:rFonts w:ascii="Arial" w:hAnsi="Arial" w:cs="Arial"/>
          <w:sz w:val="24"/>
          <w:szCs w:val="24"/>
        </w:rPr>
      </w:pPr>
      <w:r>
        <w:rPr>
          <w:rFonts w:ascii="Arial" w:hAnsi="Arial" w:cs="Arial"/>
          <w:sz w:val="24"/>
          <w:szCs w:val="24"/>
        </w:rPr>
        <w:t>Procure through build or purchase a building within the District to convert into high quality bespoke temporary accommodation using funding agreed by Strategy and Resources Committee.</w:t>
      </w:r>
    </w:p>
    <w:p w:rsidR="00C725D9" w:rsidRDefault="00C725D9" w:rsidP="00F72226">
      <w:pPr>
        <w:pStyle w:val="ListParagraph"/>
        <w:numPr>
          <w:ilvl w:val="0"/>
          <w:numId w:val="56"/>
        </w:numPr>
        <w:spacing w:afterLines="40" w:line="240" w:lineRule="auto"/>
        <w:jc w:val="both"/>
        <w:rPr>
          <w:rFonts w:ascii="Arial" w:hAnsi="Arial" w:cs="Arial"/>
          <w:sz w:val="24"/>
          <w:szCs w:val="24"/>
        </w:rPr>
      </w:pPr>
      <w:r>
        <w:rPr>
          <w:rFonts w:ascii="Arial" w:hAnsi="Arial" w:cs="Arial"/>
          <w:sz w:val="24"/>
          <w:szCs w:val="24"/>
        </w:rPr>
        <w:t>To procure management of this property from a Registered Provider so that stays for families are not limited to six weeks.</w:t>
      </w:r>
    </w:p>
    <w:p w:rsidR="00C725D9" w:rsidRDefault="00C725D9" w:rsidP="00F72226">
      <w:pPr>
        <w:spacing w:afterLines="40" w:line="240" w:lineRule="auto"/>
        <w:ind w:left="720"/>
        <w:jc w:val="both"/>
        <w:rPr>
          <w:rFonts w:ascii="Arial" w:hAnsi="Arial" w:cs="Arial"/>
          <w:sz w:val="24"/>
          <w:szCs w:val="24"/>
        </w:rPr>
      </w:pPr>
    </w:p>
    <w:p w:rsidR="00C725D9" w:rsidRDefault="00C725D9" w:rsidP="00F72226">
      <w:pPr>
        <w:spacing w:afterLines="40" w:line="240" w:lineRule="auto"/>
        <w:jc w:val="both"/>
        <w:rPr>
          <w:rFonts w:ascii="Arial" w:hAnsi="Arial" w:cs="Arial"/>
          <w:sz w:val="24"/>
          <w:szCs w:val="24"/>
        </w:rPr>
      </w:pPr>
    </w:p>
    <w:p w:rsidR="00C725D9" w:rsidRDefault="00C725D9" w:rsidP="00F72226">
      <w:pPr>
        <w:spacing w:afterLines="40" w:line="240" w:lineRule="auto"/>
        <w:jc w:val="both"/>
        <w:rPr>
          <w:rFonts w:ascii="Arial" w:hAnsi="Arial" w:cs="Arial"/>
          <w:sz w:val="24"/>
          <w:szCs w:val="24"/>
          <w:u w:val="single"/>
        </w:rPr>
      </w:pPr>
      <w:proofErr w:type="gramStart"/>
      <w:r>
        <w:rPr>
          <w:rFonts w:ascii="Arial" w:hAnsi="Arial" w:cs="Arial"/>
          <w:sz w:val="24"/>
          <w:szCs w:val="24"/>
          <w:u w:val="single"/>
        </w:rPr>
        <w:t>Rough Sleeping.</w:t>
      </w:r>
      <w:proofErr w:type="gramEnd"/>
    </w:p>
    <w:p w:rsidR="00C725D9" w:rsidRDefault="00C725D9" w:rsidP="00F72226">
      <w:pPr>
        <w:spacing w:afterLines="40" w:line="240" w:lineRule="auto"/>
        <w:jc w:val="both"/>
        <w:rPr>
          <w:rFonts w:ascii="Arial" w:hAnsi="Arial" w:cs="Arial"/>
          <w:sz w:val="24"/>
          <w:szCs w:val="24"/>
          <w:u w:val="single"/>
        </w:rPr>
      </w:pPr>
    </w:p>
    <w:p w:rsidR="00C725D9" w:rsidRDefault="00C725D9" w:rsidP="00F72226">
      <w:pPr>
        <w:spacing w:afterLines="40" w:line="240" w:lineRule="auto"/>
        <w:jc w:val="both"/>
        <w:rPr>
          <w:rFonts w:ascii="Arial" w:hAnsi="Arial" w:cs="Arial"/>
          <w:sz w:val="24"/>
          <w:szCs w:val="24"/>
        </w:rPr>
      </w:pPr>
      <w:r>
        <w:rPr>
          <w:rFonts w:ascii="Arial" w:hAnsi="Arial" w:cs="Arial"/>
          <w:sz w:val="24"/>
          <w:szCs w:val="24"/>
        </w:rPr>
        <w:t>Although rough sleeping has historically been at relatively low levels within the District</w:t>
      </w:r>
      <w:r w:rsidR="009A08CF">
        <w:rPr>
          <w:rFonts w:ascii="Arial" w:hAnsi="Arial" w:cs="Arial"/>
          <w:sz w:val="24"/>
          <w:szCs w:val="24"/>
        </w:rPr>
        <w:t>, the</w:t>
      </w:r>
      <w:r>
        <w:rPr>
          <w:rFonts w:ascii="Arial" w:hAnsi="Arial" w:cs="Arial"/>
          <w:sz w:val="24"/>
          <w:szCs w:val="24"/>
        </w:rPr>
        <w:t xml:space="preserve"> latest official annual estimate found there to </w:t>
      </w:r>
      <w:r w:rsidR="00157731">
        <w:rPr>
          <w:rFonts w:ascii="Arial" w:hAnsi="Arial" w:cs="Arial"/>
          <w:sz w:val="24"/>
          <w:szCs w:val="24"/>
        </w:rPr>
        <w:t>be 4</w:t>
      </w:r>
      <w:r>
        <w:rPr>
          <w:rFonts w:ascii="Arial" w:hAnsi="Arial" w:cs="Arial"/>
          <w:sz w:val="24"/>
          <w:szCs w:val="24"/>
        </w:rPr>
        <w:t xml:space="preserve"> persons sleeping rough, compared to 2 in the previous three years. There has also been an increase in the visibility of rough sleeping with street begging on the increase, although there is evidence that not all of the people begging are homeless. This has combined with more media attention on rough sleeping to increase the pressures to address the problem. Rough sleepers tend to be drawn to major settlements where there are more services, and within the county it is Gloucester that has by far the highest number. Many of the initiatives and services to help rough sleepers to move off of the streets are commissioned on a countywide basis. This not only helps with economies of scale, but this type of partnership working is also encouraged by central government for funding bids. </w:t>
      </w:r>
    </w:p>
    <w:p w:rsidR="00C725D9" w:rsidRDefault="00C725D9" w:rsidP="00F72226">
      <w:pPr>
        <w:spacing w:afterLines="40" w:line="240" w:lineRule="auto"/>
        <w:jc w:val="both"/>
        <w:rPr>
          <w:rFonts w:ascii="Arial" w:hAnsi="Arial" w:cs="Arial"/>
          <w:sz w:val="24"/>
          <w:szCs w:val="24"/>
        </w:rPr>
      </w:pPr>
    </w:p>
    <w:p w:rsidR="00C725D9" w:rsidRDefault="00C725D9" w:rsidP="00F72226">
      <w:pPr>
        <w:pStyle w:val="ListParagraph"/>
        <w:numPr>
          <w:ilvl w:val="0"/>
          <w:numId w:val="57"/>
        </w:numPr>
        <w:spacing w:afterLines="40" w:line="240" w:lineRule="auto"/>
        <w:jc w:val="both"/>
        <w:rPr>
          <w:rFonts w:ascii="Arial" w:hAnsi="Arial" w:cs="Arial"/>
          <w:sz w:val="24"/>
          <w:szCs w:val="24"/>
        </w:rPr>
      </w:pPr>
      <w:r>
        <w:rPr>
          <w:rFonts w:ascii="Arial" w:hAnsi="Arial" w:cs="Arial"/>
          <w:sz w:val="24"/>
          <w:szCs w:val="24"/>
        </w:rPr>
        <w:t xml:space="preserve">Joint commissioning of countywide outreach service provided by P3. Anyone rough sleeping can be reported to P3 by members of the public via </w:t>
      </w:r>
      <w:proofErr w:type="spellStart"/>
      <w:r>
        <w:rPr>
          <w:rFonts w:ascii="Arial" w:hAnsi="Arial" w:cs="Arial"/>
          <w:sz w:val="24"/>
          <w:szCs w:val="24"/>
        </w:rPr>
        <w:t>Streetlink</w:t>
      </w:r>
      <w:proofErr w:type="spellEnd"/>
      <w:r>
        <w:rPr>
          <w:rFonts w:ascii="Arial" w:hAnsi="Arial" w:cs="Arial"/>
          <w:sz w:val="24"/>
          <w:szCs w:val="24"/>
        </w:rPr>
        <w:t>. P3 will then meet the person and assist them into accommodation where their needs can be assessed.</w:t>
      </w:r>
    </w:p>
    <w:p w:rsidR="00C725D9" w:rsidRDefault="00C725D9" w:rsidP="00F72226">
      <w:pPr>
        <w:pStyle w:val="ListParagraph"/>
        <w:numPr>
          <w:ilvl w:val="0"/>
          <w:numId w:val="57"/>
        </w:numPr>
        <w:spacing w:afterLines="40" w:line="240" w:lineRule="auto"/>
        <w:jc w:val="both"/>
        <w:rPr>
          <w:rFonts w:ascii="Arial" w:hAnsi="Arial" w:cs="Arial"/>
          <w:sz w:val="24"/>
          <w:szCs w:val="24"/>
        </w:rPr>
      </w:pPr>
      <w:r>
        <w:rPr>
          <w:rFonts w:ascii="Arial" w:hAnsi="Arial" w:cs="Arial"/>
          <w:sz w:val="24"/>
          <w:szCs w:val="24"/>
        </w:rPr>
        <w:t xml:space="preserve">Successful countywide bid for £1.27 million for SIB (Social Impact Bond) project. The purpose is to help the most chaotic and entrenched rough sleepers off of the streets using the Housing First model. (There are 127 people that have been identified across the county that fit this category). This is where support services for such things as mental health problems, addiction problems is provided after the person is </w:t>
      </w:r>
      <w:r w:rsidR="009A08CF">
        <w:rPr>
          <w:rFonts w:ascii="Arial" w:hAnsi="Arial" w:cs="Arial"/>
          <w:sz w:val="24"/>
          <w:szCs w:val="24"/>
        </w:rPr>
        <w:t>move</w:t>
      </w:r>
      <w:r w:rsidR="006D71E7">
        <w:rPr>
          <w:rFonts w:ascii="Arial" w:hAnsi="Arial" w:cs="Arial"/>
          <w:sz w:val="24"/>
          <w:szCs w:val="24"/>
        </w:rPr>
        <w:t>d</w:t>
      </w:r>
      <w:r w:rsidR="009A08CF">
        <w:rPr>
          <w:rFonts w:ascii="Arial" w:hAnsi="Arial" w:cs="Arial"/>
          <w:sz w:val="24"/>
          <w:szCs w:val="24"/>
        </w:rPr>
        <w:t xml:space="preserve"> into</w:t>
      </w:r>
      <w:r>
        <w:rPr>
          <w:rFonts w:ascii="Arial" w:hAnsi="Arial" w:cs="Arial"/>
          <w:sz w:val="24"/>
          <w:szCs w:val="24"/>
        </w:rPr>
        <w:t xml:space="preserve"> accommodation</w:t>
      </w:r>
      <w:r w:rsidR="006D71E7">
        <w:rPr>
          <w:rFonts w:ascii="Arial" w:hAnsi="Arial" w:cs="Arial"/>
          <w:sz w:val="24"/>
          <w:szCs w:val="24"/>
        </w:rPr>
        <w:t>,</w:t>
      </w:r>
      <w:r>
        <w:rPr>
          <w:rFonts w:ascii="Arial" w:hAnsi="Arial" w:cs="Arial"/>
          <w:sz w:val="24"/>
          <w:szCs w:val="24"/>
        </w:rPr>
        <w:t xml:space="preserve"> and has had successful results where it has been trialled.</w:t>
      </w:r>
    </w:p>
    <w:p w:rsidR="00C725D9" w:rsidRDefault="00C725D9" w:rsidP="00F72226">
      <w:pPr>
        <w:pStyle w:val="ListParagraph"/>
        <w:numPr>
          <w:ilvl w:val="0"/>
          <w:numId w:val="57"/>
        </w:numPr>
        <w:spacing w:afterLines="40" w:line="240" w:lineRule="auto"/>
        <w:jc w:val="both"/>
        <w:rPr>
          <w:rFonts w:ascii="Arial" w:hAnsi="Arial" w:cs="Arial"/>
          <w:sz w:val="24"/>
          <w:szCs w:val="24"/>
        </w:rPr>
      </w:pPr>
      <w:r>
        <w:rPr>
          <w:rFonts w:ascii="Arial" w:hAnsi="Arial" w:cs="Arial"/>
          <w:sz w:val="24"/>
          <w:szCs w:val="24"/>
        </w:rPr>
        <w:t>Provision of accommodation for the SIB project through two of the council’s properties.</w:t>
      </w:r>
    </w:p>
    <w:p w:rsidR="00C725D9" w:rsidRDefault="00C725D9" w:rsidP="00F72226">
      <w:pPr>
        <w:pStyle w:val="ListParagraph"/>
        <w:numPr>
          <w:ilvl w:val="0"/>
          <w:numId w:val="57"/>
        </w:numPr>
        <w:spacing w:afterLines="40" w:line="240" w:lineRule="auto"/>
        <w:jc w:val="both"/>
        <w:rPr>
          <w:rFonts w:ascii="Arial" w:hAnsi="Arial" w:cs="Arial"/>
          <w:sz w:val="24"/>
          <w:szCs w:val="24"/>
        </w:rPr>
      </w:pPr>
      <w:r>
        <w:rPr>
          <w:rFonts w:ascii="Arial" w:hAnsi="Arial" w:cs="Arial"/>
          <w:sz w:val="24"/>
          <w:szCs w:val="24"/>
        </w:rPr>
        <w:t xml:space="preserve">Supporting countywide bid for funding for Rapid </w:t>
      </w:r>
      <w:proofErr w:type="spellStart"/>
      <w:r>
        <w:rPr>
          <w:rFonts w:ascii="Arial" w:hAnsi="Arial" w:cs="Arial"/>
          <w:sz w:val="24"/>
          <w:szCs w:val="24"/>
        </w:rPr>
        <w:t>Rehousing</w:t>
      </w:r>
      <w:proofErr w:type="spellEnd"/>
      <w:r>
        <w:rPr>
          <w:rFonts w:ascii="Arial" w:hAnsi="Arial" w:cs="Arial"/>
          <w:sz w:val="24"/>
          <w:szCs w:val="24"/>
        </w:rPr>
        <w:t xml:space="preserve"> Pathway (part of the government’s Rough Sleeping Strategy). This is to set up direct access accommodation for people who are already rough sleeping or at risk of rough sleeping. They are then quickly assessed in line with the Homeless Reduction Act 2017, offered appropriate support and rapidly helped into a settled home.</w:t>
      </w:r>
    </w:p>
    <w:p w:rsidR="00C725D9" w:rsidRDefault="00C725D9" w:rsidP="00F72226">
      <w:pPr>
        <w:pStyle w:val="ListParagraph"/>
        <w:numPr>
          <w:ilvl w:val="0"/>
          <w:numId w:val="57"/>
        </w:numPr>
        <w:spacing w:afterLines="40" w:line="240" w:lineRule="auto"/>
        <w:jc w:val="both"/>
        <w:rPr>
          <w:rFonts w:ascii="Arial" w:hAnsi="Arial" w:cs="Arial"/>
          <w:sz w:val="24"/>
          <w:szCs w:val="24"/>
        </w:rPr>
      </w:pPr>
      <w:r>
        <w:rPr>
          <w:rFonts w:ascii="Arial" w:hAnsi="Arial" w:cs="Arial"/>
          <w:sz w:val="24"/>
          <w:szCs w:val="24"/>
        </w:rPr>
        <w:t>Participating in countywide SWEP (Severe Weather Emergency Protocol). The Housing Advice Manager monitors weather forecasts through the meteorological office website. Where forecasts are predicted to meet SWEP criteria, all relevant organisations are contacted and accommodation is made available for all rough sleepers. This is a humanitarian response to severe weather and is regardless of priority need or intentionality, and includes those who are not eligible for housing assistance due to their immigration status.</w:t>
      </w:r>
    </w:p>
    <w:p w:rsidR="00C725D9" w:rsidRDefault="00C725D9" w:rsidP="00F72226">
      <w:pPr>
        <w:pStyle w:val="ListParagraph"/>
        <w:numPr>
          <w:ilvl w:val="0"/>
          <w:numId w:val="57"/>
        </w:numPr>
        <w:spacing w:afterLines="40" w:line="240" w:lineRule="auto"/>
        <w:jc w:val="both"/>
        <w:rPr>
          <w:rFonts w:ascii="Arial" w:hAnsi="Arial" w:cs="Arial"/>
          <w:sz w:val="24"/>
          <w:szCs w:val="24"/>
        </w:rPr>
      </w:pPr>
      <w:r>
        <w:rPr>
          <w:rFonts w:ascii="Arial" w:hAnsi="Arial" w:cs="Arial"/>
          <w:sz w:val="24"/>
          <w:szCs w:val="24"/>
        </w:rPr>
        <w:t>Grant funding for MARAH Trust who provide practical help and support for homeless persons.</w:t>
      </w:r>
    </w:p>
    <w:p w:rsidR="00C725D9" w:rsidRDefault="00C725D9" w:rsidP="00F72226">
      <w:pPr>
        <w:spacing w:afterLines="40" w:line="240" w:lineRule="auto"/>
        <w:ind w:left="720"/>
        <w:jc w:val="both"/>
        <w:rPr>
          <w:rFonts w:ascii="Arial" w:hAnsi="Arial" w:cs="Arial"/>
          <w:sz w:val="24"/>
          <w:szCs w:val="24"/>
        </w:rPr>
      </w:pPr>
    </w:p>
    <w:p w:rsidR="00C725D9" w:rsidRDefault="00C725D9" w:rsidP="00F72226">
      <w:pPr>
        <w:spacing w:afterLines="40" w:line="240" w:lineRule="auto"/>
        <w:jc w:val="both"/>
        <w:rPr>
          <w:rFonts w:ascii="Arial" w:hAnsi="Arial" w:cs="Arial"/>
          <w:sz w:val="24"/>
          <w:szCs w:val="24"/>
        </w:rPr>
      </w:pPr>
    </w:p>
    <w:p w:rsidR="00BA1200" w:rsidRDefault="00BA1200" w:rsidP="00F72226">
      <w:pPr>
        <w:spacing w:afterLines="40" w:line="240" w:lineRule="auto"/>
        <w:jc w:val="both"/>
        <w:rPr>
          <w:rFonts w:ascii="Arial" w:hAnsi="Arial" w:cs="Arial"/>
          <w:sz w:val="24"/>
          <w:szCs w:val="24"/>
          <w:u w:val="single"/>
        </w:rPr>
      </w:pPr>
    </w:p>
    <w:p w:rsidR="00BA1200" w:rsidRDefault="00BA1200" w:rsidP="00F72226">
      <w:pPr>
        <w:spacing w:afterLines="40" w:line="240" w:lineRule="auto"/>
        <w:jc w:val="both"/>
        <w:rPr>
          <w:rFonts w:ascii="Arial" w:hAnsi="Arial" w:cs="Arial"/>
          <w:sz w:val="24"/>
          <w:szCs w:val="24"/>
          <w:u w:val="single"/>
        </w:rPr>
      </w:pPr>
    </w:p>
    <w:p w:rsidR="00C725D9" w:rsidRDefault="00C725D9" w:rsidP="00F72226">
      <w:pPr>
        <w:spacing w:afterLines="40" w:line="240" w:lineRule="auto"/>
        <w:jc w:val="both"/>
        <w:rPr>
          <w:rFonts w:ascii="Arial" w:hAnsi="Arial" w:cs="Arial"/>
          <w:sz w:val="24"/>
          <w:szCs w:val="24"/>
          <w:u w:val="single"/>
        </w:rPr>
      </w:pPr>
      <w:proofErr w:type="gramStart"/>
      <w:r>
        <w:rPr>
          <w:rFonts w:ascii="Arial" w:hAnsi="Arial" w:cs="Arial"/>
          <w:sz w:val="24"/>
          <w:szCs w:val="24"/>
          <w:u w:val="single"/>
        </w:rPr>
        <w:t>Domestic Abuse.</w:t>
      </w:r>
      <w:proofErr w:type="gramEnd"/>
    </w:p>
    <w:p w:rsidR="00C725D9" w:rsidRDefault="00C725D9" w:rsidP="00F72226">
      <w:pPr>
        <w:spacing w:afterLines="40" w:line="240" w:lineRule="auto"/>
        <w:jc w:val="both"/>
        <w:rPr>
          <w:rFonts w:ascii="Arial" w:hAnsi="Arial" w:cs="Arial"/>
          <w:sz w:val="24"/>
          <w:szCs w:val="24"/>
          <w:u w:val="single"/>
        </w:rPr>
      </w:pPr>
    </w:p>
    <w:p w:rsidR="00C725D9" w:rsidRDefault="00C725D9" w:rsidP="00F72226">
      <w:pPr>
        <w:spacing w:afterLines="40" w:line="240" w:lineRule="auto"/>
        <w:jc w:val="both"/>
        <w:rPr>
          <w:rFonts w:ascii="Arial" w:hAnsi="Arial" w:cs="Arial"/>
          <w:sz w:val="24"/>
          <w:szCs w:val="24"/>
        </w:rPr>
      </w:pPr>
      <w:r>
        <w:rPr>
          <w:rFonts w:ascii="Arial" w:hAnsi="Arial" w:cs="Arial"/>
          <w:sz w:val="24"/>
          <w:szCs w:val="24"/>
        </w:rPr>
        <w:t>This is another area which has a high media profile and is receiving government support, both in changes in legislation, and grant funding for successful bids from relevant organisations. Stroud District is the only local authority area within the county that still has its own women’s refuge run by the Beresford Group, a registered charity. GDASS (Gloucestershire Domestic Abuse Support Service) is the countywide organisation providing support and advice to anyone suffering from domestic abuse. They were successful in a bid, supported by Stroud District Council, for central government funding to provide Places of Safety, properties provided by Registered Providers across the county as temporary accommodation for all victims of domestic abuse.</w:t>
      </w:r>
    </w:p>
    <w:p w:rsidR="00C725D9" w:rsidRDefault="00C725D9" w:rsidP="00F72226">
      <w:pPr>
        <w:spacing w:afterLines="40" w:line="240" w:lineRule="auto"/>
        <w:jc w:val="both"/>
        <w:rPr>
          <w:rFonts w:ascii="Arial" w:hAnsi="Arial" w:cs="Arial"/>
          <w:sz w:val="24"/>
          <w:szCs w:val="24"/>
        </w:rPr>
      </w:pPr>
    </w:p>
    <w:p w:rsidR="00C725D9" w:rsidRDefault="00C725D9" w:rsidP="00F72226">
      <w:pPr>
        <w:pStyle w:val="ListParagraph"/>
        <w:numPr>
          <w:ilvl w:val="0"/>
          <w:numId w:val="58"/>
        </w:numPr>
        <w:spacing w:afterLines="40" w:line="240" w:lineRule="auto"/>
        <w:jc w:val="both"/>
        <w:rPr>
          <w:rFonts w:ascii="Arial" w:hAnsi="Arial" w:cs="Arial"/>
          <w:sz w:val="24"/>
          <w:szCs w:val="24"/>
        </w:rPr>
      </w:pPr>
      <w:r>
        <w:rPr>
          <w:rFonts w:ascii="Arial" w:hAnsi="Arial" w:cs="Arial"/>
          <w:sz w:val="24"/>
          <w:szCs w:val="24"/>
        </w:rPr>
        <w:t>To continue funding target hardening and sanctuary scheme work to enable victims to remain in their own home safely.</w:t>
      </w:r>
    </w:p>
    <w:p w:rsidR="00C725D9" w:rsidRDefault="00C725D9" w:rsidP="00F72226">
      <w:pPr>
        <w:pStyle w:val="ListParagraph"/>
        <w:numPr>
          <w:ilvl w:val="0"/>
          <w:numId w:val="58"/>
        </w:numPr>
        <w:spacing w:afterLines="40" w:line="240" w:lineRule="auto"/>
        <w:jc w:val="both"/>
        <w:rPr>
          <w:rFonts w:ascii="Arial" w:hAnsi="Arial" w:cs="Arial"/>
          <w:sz w:val="24"/>
          <w:szCs w:val="24"/>
        </w:rPr>
      </w:pPr>
      <w:r>
        <w:rPr>
          <w:rFonts w:ascii="Arial" w:hAnsi="Arial" w:cs="Arial"/>
          <w:sz w:val="24"/>
          <w:szCs w:val="24"/>
        </w:rPr>
        <w:t xml:space="preserve">To continue </w:t>
      </w:r>
      <w:proofErr w:type="gramStart"/>
      <w:r>
        <w:rPr>
          <w:rFonts w:ascii="Arial" w:hAnsi="Arial" w:cs="Arial"/>
          <w:sz w:val="24"/>
          <w:szCs w:val="24"/>
        </w:rPr>
        <w:t>partnership working with GDASS to ensure households in Places of Safety secure</w:t>
      </w:r>
      <w:proofErr w:type="gramEnd"/>
      <w:r>
        <w:rPr>
          <w:rFonts w:ascii="Arial" w:hAnsi="Arial" w:cs="Arial"/>
          <w:sz w:val="24"/>
          <w:szCs w:val="24"/>
        </w:rPr>
        <w:t xml:space="preserve"> appropriate accommodation.</w:t>
      </w:r>
    </w:p>
    <w:p w:rsidR="00C725D9" w:rsidRDefault="00C725D9" w:rsidP="00F72226">
      <w:pPr>
        <w:pStyle w:val="ListParagraph"/>
        <w:numPr>
          <w:ilvl w:val="0"/>
          <w:numId w:val="58"/>
        </w:numPr>
        <w:spacing w:afterLines="40" w:line="240" w:lineRule="auto"/>
        <w:jc w:val="both"/>
        <w:rPr>
          <w:rFonts w:ascii="Arial" w:hAnsi="Arial" w:cs="Arial"/>
          <w:sz w:val="24"/>
          <w:szCs w:val="24"/>
        </w:rPr>
      </w:pPr>
      <w:r>
        <w:rPr>
          <w:rFonts w:ascii="Arial" w:hAnsi="Arial" w:cs="Arial"/>
          <w:sz w:val="24"/>
          <w:szCs w:val="24"/>
        </w:rPr>
        <w:t>To provide grant funding to the Beresford Group to help their work with victims of domestic abuse.</w:t>
      </w:r>
    </w:p>
    <w:p w:rsidR="00C725D9" w:rsidRDefault="00C725D9" w:rsidP="00F72226">
      <w:pPr>
        <w:pStyle w:val="ListParagraph"/>
        <w:numPr>
          <w:ilvl w:val="0"/>
          <w:numId w:val="58"/>
        </w:numPr>
        <w:spacing w:afterLines="40" w:line="240" w:lineRule="auto"/>
        <w:jc w:val="both"/>
        <w:rPr>
          <w:rFonts w:ascii="Arial" w:hAnsi="Arial" w:cs="Arial"/>
          <w:sz w:val="24"/>
          <w:szCs w:val="24"/>
        </w:rPr>
      </w:pPr>
      <w:r>
        <w:rPr>
          <w:rFonts w:ascii="Arial" w:hAnsi="Arial" w:cs="Arial"/>
          <w:sz w:val="24"/>
          <w:szCs w:val="24"/>
        </w:rPr>
        <w:t>All Housing Advice team receive training in domestic abuse.</w:t>
      </w:r>
    </w:p>
    <w:p w:rsidR="00C725D9" w:rsidRDefault="00C725D9" w:rsidP="00F72226">
      <w:pPr>
        <w:pStyle w:val="ListParagraph"/>
        <w:numPr>
          <w:ilvl w:val="0"/>
          <w:numId w:val="58"/>
        </w:numPr>
        <w:spacing w:afterLines="40" w:line="240" w:lineRule="auto"/>
        <w:jc w:val="both"/>
        <w:rPr>
          <w:rFonts w:ascii="Arial" w:hAnsi="Arial" w:cs="Arial"/>
          <w:sz w:val="24"/>
          <w:szCs w:val="24"/>
        </w:rPr>
      </w:pPr>
      <w:r>
        <w:rPr>
          <w:rFonts w:ascii="Arial" w:hAnsi="Arial" w:cs="Arial"/>
          <w:sz w:val="24"/>
          <w:szCs w:val="24"/>
        </w:rPr>
        <w:t xml:space="preserve">To provide grant funding to the Furniture Bank in order to subsidise furniture for families moving on from Stroud </w:t>
      </w:r>
      <w:proofErr w:type="spellStart"/>
      <w:r>
        <w:rPr>
          <w:rFonts w:ascii="Arial" w:hAnsi="Arial" w:cs="Arial"/>
          <w:sz w:val="24"/>
          <w:szCs w:val="24"/>
        </w:rPr>
        <w:t>Womens</w:t>
      </w:r>
      <w:proofErr w:type="spellEnd"/>
      <w:r>
        <w:rPr>
          <w:rFonts w:ascii="Arial" w:hAnsi="Arial" w:cs="Arial"/>
          <w:sz w:val="24"/>
          <w:szCs w:val="24"/>
        </w:rPr>
        <w:t xml:space="preserve"> Refuge.</w:t>
      </w:r>
    </w:p>
    <w:p w:rsidR="006D71E7" w:rsidRDefault="006D71E7" w:rsidP="00F72226">
      <w:pPr>
        <w:pStyle w:val="ListParagraph"/>
        <w:numPr>
          <w:ilvl w:val="0"/>
          <w:numId w:val="58"/>
        </w:numPr>
        <w:spacing w:afterLines="40" w:line="240" w:lineRule="auto"/>
        <w:jc w:val="both"/>
        <w:rPr>
          <w:rFonts w:ascii="Arial" w:hAnsi="Arial" w:cs="Arial"/>
          <w:sz w:val="24"/>
          <w:szCs w:val="24"/>
        </w:rPr>
      </w:pPr>
      <w:r>
        <w:rPr>
          <w:rFonts w:ascii="Arial" w:hAnsi="Arial" w:cs="Arial"/>
          <w:sz w:val="24"/>
          <w:szCs w:val="24"/>
        </w:rPr>
        <w:t xml:space="preserve">Move on priority and local connection is given on </w:t>
      </w:r>
      <w:proofErr w:type="spellStart"/>
      <w:r>
        <w:rPr>
          <w:rFonts w:ascii="Arial" w:hAnsi="Arial" w:cs="Arial"/>
          <w:sz w:val="24"/>
          <w:szCs w:val="24"/>
        </w:rPr>
        <w:t>HomeseekerPlus</w:t>
      </w:r>
      <w:proofErr w:type="spellEnd"/>
      <w:r>
        <w:rPr>
          <w:rFonts w:ascii="Arial" w:hAnsi="Arial" w:cs="Arial"/>
          <w:sz w:val="24"/>
          <w:szCs w:val="24"/>
        </w:rPr>
        <w:t xml:space="preserve"> to women from the refuge once it is confirmed they are ready for independent living. This avoids the need for a homeless application and the intrusion</w:t>
      </w:r>
    </w:p>
    <w:p w:rsidR="00F72226" w:rsidRDefault="00F72226" w:rsidP="00F72226">
      <w:pPr>
        <w:pStyle w:val="ListParagraph"/>
        <w:numPr>
          <w:ilvl w:val="0"/>
          <w:numId w:val="58"/>
        </w:numPr>
        <w:spacing w:afterLines="40" w:line="240" w:lineRule="auto"/>
        <w:jc w:val="both"/>
        <w:rPr>
          <w:rFonts w:ascii="Arial" w:hAnsi="Arial" w:cs="Arial"/>
          <w:sz w:val="24"/>
          <w:szCs w:val="24"/>
        </w:rPr>
      </w:pPr>
      <w:r>
        <w:rPr>
          <w:rFonts w:ascii="Arial" w:hAnsi="Arial" w:cs="Arial"/>
          <w:sz w:val="24"/>
          <w:szCs w:val="24"/>
        </w:rPr>
        <w:t xml:space="preserve">Applicants with rent arrears are suspended on </w:t>
      </w:r>
      <w:proofErr w:type="spellStart"/>
      <w:r>
        <w:rPr>
          <w:rFonts w:ascii="Arial" w:hAnsi="Arial" w:cs="Arial"/>
          <w:sz w:val="24"/>
          <w:szCs w:val="24"/>
        </w:rPr>
        <w:t>HomeseekerPlus</w:t>
      </w:r>
      <w:proofErr w:type="spellEnd"/>
      <w:r>
        <w:rPr>
          <w:rFonts w:ascii="Arial" w:hAnsi="Arial" w:cs="Arial"/>
          <w:sz w:val="24"/>
          <w:szCs w:val="24"/>
        </w:rPr>
        <w:t xml:space="preserve"> until the arrears are cleared or a payment plan has been kept to for an agreed period. The Housing Advice Manager can make exceptions to this policy, taking into account personal circumstances as well as the level of the debt and arrears history. An exception will always be agreed where arrears are confirmed to result from coercive, controlling or financial abuse.</w:t>
      </w:r>
    </w:p>
    <w:p w:rsidR="00C725D9" w:rsidRPr="00C751EB" w:rsidRDefault="00C725D9" w:rsidP="00F72226">
      <w:pPr>
        <w:spacing w:afterLines="40" w:line="240" w:lineRule="auto"/>
        <w:jc w:val="both"/>
        <w:rPr>
          <w:rFonts w:ascii="Arial" w:hAnsi="Arial" w:cs="Arial"/>
          <w:sz w:val="24"/>
          <w:szCs w:val="24"/>
        </w:rPr>
      </w:pPr>
    </w:p>
    <w:p w:rsidR="003C6C78" w:rsidRDefault="003C6C78" w:rsidP="00F02C57">
      <w:pPr>
        <w:rPr>
          <w:rFonts w:ascii="Arial" w:hAnsi="Arial" w:cs="Arial"/>
          <w:sz w:val="24"/>
          <w:szCs w:val="24"/>
        </w:rPr>
      </w:pPr>
    </w:p>
    <w:p w:rsidR="009A08CF" w:rsidRDefault="009A08CF" w:rsidP="00F02C57">
      <w:pPr>
        <w:rPr>
          <w:rFonts w:ascii="Arial" w:hAnsi="Arial" w:cs="Arial"/>
          <w:b/>
          <w:sz w:val="24"/>
          <w:szCs w:val="24"/>
        </w:rPr>
      </w:pPr>
    </w:p>
    <w:p w:rsidR="009A08CF" w:rsidRDefault="009A08CF" w:rsidP="00F02C57">
      <w:pPr>
        <w:rPr>
          <w:rFonts w:ascii="Arial" w:hAnsi="Arial" w:cs="Arial"/>
          <w:b/>
          <w:sz w:val="24"/>
          <w:szCs w:val="24"/>
        </w:rPr>
      </w:pPr>
    </w:p>
    <w:p w:rsidR="009A08CF" w:rsidRDefault="009A08CF" w:rsidP="00F02C57">
      <w:pPr>
        <w:rPr>
          <w:rFonts w:ascii="Arial" w:hAnsi="Arial" w:cs="Arial"/>
          <w:b/>
          <w:sz w:val="24"/>
          <w:szCs w:val="24"/>
        </w:rPr>
      </w:pPr>
    </w:p>
    <w:p w:rsidR="009A08CF" w:rsidRDefault="009A08CF" w:rsidP="00F02C57">
      <w:pPr>
        <w:rPr>
          <w:rFonts w:ascii="Arial" w:hAnsi="Arial" w:cs="Arial"/>
          <w:b/>
          <w:sz w:val="24"/>
          <w:szCs w:val="24"/>
        </w:rPr>
      </w:pPr>
    </w:p>
    <w:p w:rsidR="009A08CF" w:rsidRDefault="009A08CF" w:rsidP="00F02C57">
      <w:pPr>
        <w:rPr>
          <w:rFonts w:ascii="Arial" w:hAnsi="Arial" w:cs="Arial"/>
          <w:b/>
          <w:sz w:val="24"/>
          <w:szCs w:val="24"/>
        </w:rPr>
      </w:pPr>
    </w:p>
    <w:p w:rsidR="009A08CF" w:rsidRDefault="009A08CF" w:rsidP="00F02C57">
      <w:pPr>
        <w:rPr>
          <w:rFonts w:ascii="Arial" w:hAnsi="Arial" w:cs="Arial"/>
          <w:b/>
          <w:sz w:val="24"/>
          <w:szCs w:val="24"/>
        </w:rPr>
      </w:pPr>
    </w:p>
    <w:p w:rsidR="00732D67" w:rsidRDefault="00732D67" w:rsidP="00F50074">
      <w:pPr>
        <w:rPr>
          <w:rFonts w:ascii="Arial" w:hAnsi="Arial" w:cs="Arial"/>
          <w:sz w:val="24"/>
          <w:szCs w:val="24"/>
        </w:rPr>
      </w:pPr>
    </w:p>
    <w:sectPr w:rsidR="00732D67" w:rsidSect="00AA2F09">
      <w:headerReference w:type="default" r:id="rId14"/>
      <w:footerReference w:type="default" r:id="rId15"/>
      <w:pgSz w:w="16838" w:h="11906" w:orient="landscape"/>
      <w:pgMar w:top="993" w:right="144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B3F" w:rsidRDefault="00B50B3F" w:rsidP="0016227C">
      <w:pPr>
        <w:spacing w:after="0" w:line="240" w:lineRule="auto"/>
      </w:pPr>
      <w:r>
        <w:separator/>
      </w:r>
    </w:p>
  </w:endnote>
  <w:endnote w:type="continuationSeparator" w:id="0">
    <w:p w:rsidR="00B50B3F" w:rsidRDefault="00B50B3F" w:rsidP="00162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1394"/>
      <w:docPartObj>
        <w:docPartGallery w:val="Page Numbers (Bottom of Page)"/>
        <w:docPartUnique/>
      </w:docPartObj>
    </w:sdtPr>
    <w:sdtEndPr>
      <w:rPr>
        <w:rFonts w:ascii="Arial" w:hAnsi="Arial" w:cs="Arial"/>
        <w:sz w:val="20"/>
        <w:szCs w:val="20"/>
      </w:rPr>
    </w:sdtEndPr>
    <w:sdtContent>
      <w:p w:rsidR="00F72226" w:rsidRPr="008603B3" w:rsidRDefault="00F72226" w:rsidP="008603B3">
        <w:pPr>
          <w:pStyle w:val="Footer"/>
          <w:jc w:val="center"/>
          <w:rPr>
            <w:rFonts w:ascii="Arial" w:hAnsi="Arial" w:cs="Arial"/>
            <w:sz w:val="20"/>
            <w:szCs w:val="20"/>
          </w:rPr>
        </w:pPr>
        <w:r w:rsidRPr="008603B3">
          <w:rPr>
            <w:rFonts w:ascii="Arial" w:hAnsi="Arial" w:cs="Arial"/>
            <w:sz w:val="20"/>
            <w:szCs w:val="20"/>
          </w:rPr>
          <w:fldChar w:fldCharType="begin"/>
        </w:r>
        <w:r w:rsidRPr="008603B3">
          <w:rPr>
            <w:rFonts w:ascii="Arial" w:hAnsi="Arial" w:cs="Arial"/>
            <w:sz w:val="20"/>
            <w:szCs w:val="20"/>
          </w:rPr>
          <w:instrText xml:space="preserve"> PAGE   \* MERGEFORMAT </w:instrText>
        </w:r>
        <w:r w:rsidRPr="008603B3">
          <w:rPr>
            <w:rFonts w:ascii="Arial" w:hAnsi="Arial" w:cs="Arial"/>
            <w:sz w:val="20"/>
            <w:szCs w:val="20"/>
          </w:rPr>
          <w:fldChar w:fldCharType="separate"/>
        </w:r>
        <w:r w:rsidR="00887D27">
          <w:rPr>
            <w:rFonts w:ascii="Arial" w:hAnsi="Arial" w:cs="Arial"/>
            <w:noProof/>
            <w:sz w:val="20"/>
            <w:szCs w:val="20"/>
          </w:rPr>
          <w:t>1</w:t>
        </w:r>
        <w:r w:rsidRPr="008603B3">
          <w:rPr>
            <w:rFonts w:ascii="Arial" w:hAnsi="Arial" w:cs="Arial"/>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B3F" w:rsidRDefault="00B50B3F" w:rsidP="0016227C">
      <w:pPr>
        <w:spacing w:after="0" w:line="240" w:lineRule="auto"/>
      </w:pPr>
      <w:r>
        <w:separator/>
      </w:r>
    </w:p>
  </w:footnote>
  <w:footnote w:type="continuationSeparator" w:id="0">
    <w:p w:rsidR="00B50B3F" w:rsidRDefault="00B50B3F" w:rsidP="0016227C">
      <w:pPr>
        <w:spacing w:after="0" w:line="240" w:lineRule="auto"/>
      </w:pPr>
      <w:r>
        <w:continuationSeparator/>
      </w:r>
    </w:p>
  </w:footnote>
  <w:footnote w:id="1">
    <w:p w:rsidR="00F72226" w:rsidRPr="002B0DDA" w:rsidRDefault="00F72226" w:rsidP="00337616">
      <w:pPr>
        <w:pStyle w:val="Footer"/>
        <w:rPr>
          <w:rFonts w:ascii="Arial" w:hAnsi="Arial" w:cs="Arial"/>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26" w:rsidRDefault="00F722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2039EC"/>
    <w:multiLevelType w:val="hybridMultilevel"/>
    <w:tmpl w:val="19EF4C6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0035D"/>
    <w:multiLevelType w:val="hybridMultilevel"/>
    <w:tmpl w:val="88408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920EBA"/>
    <w:multiLevelType w:val="hybridMultilevel"/>
    <w:tmpl w:val="4C8A9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681AED"/>
    <w:multiLevelType w:val="hybridMultilevel"/>
    <w:tmpl w:val="4508C45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057F15CB"/>
    <w:multiLevelType w:val="hybridMultilevel"/>
    <w:tmpl w:val="4926AF10"/>
    <w:lvl w:ilvl="0" w:tplc="2236E6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882304"/>
    <w:multiLevelType w:val="hybridMultilevel"/>
    <w:tmpl w:val="1F8A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C63B21"/>
    <w:multiLevelType w:val="hybridMultilevel"/>
    <w:tmpl w:val="4C34D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D72EC6"/>
    <w:multiLevelType w:val="hybridMultilevel"/>
    <w:tmpl w:val="5D22598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8">
    <w:nsid w:val="0EC674B1"/>
    <w:multiLevelType w:val="hybridMultilevel"/>
    <w:tmpl w:val="F5BCC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8F7379"/>
    <w:multiLevelType w:val="hybridMultilevel"/>
    <w:tmpl w:val="83A85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D273D5"/>
    <w:multiLevelType w:val="hybridMultilevel"/>
    <w:tmpl w:val="EA9E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341486A"/>
    <w:multiLevelType w:val="multilevel"/>
    <w:tmpl w:val="BF4681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3583ED0"/>
    <w:multiLevelType w:val="hybridMultilevel"/>
    <w:tmpl w:val="CE5C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38F7794"/>
    <w:multiLevelType w:val="multilevel"/>
    <w:tmpl w:val="BF46819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3B77F89"/>
    <w:multiLevelType w:val="hybridMultilevel"/>
    <w:tmpl w:val="ECF8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5714F3B"/>
    <w:multiLevelType w:val="hybridMultilevel"/>
    <w:tmpl w:val="A95E24FC"/>
    <w:lvl w:ilvl="0" w:tplc="08090001">
      <w:start w:val="1"/>
      <w:numFmt w:val="bullet"/>
      <w:lvlText w:val=""/>
      <w:lvlJc w:val="left"/>
      <w:pPr>
        <w:ind w:left="1995" w:hanging="360"/>
      </w:pPr>
      <w:rPr>
        <w:rFonts w:ascii="Symbol" w:hAnsi="Symbol" w:hint="default"/>
      </w:rPr>
    </w:lvl>
    <w:lvl w:ilvl="1" w:tplc="08090003" w:tentative="1">
      <w:start w:val="1"/>
      <w:numFmt w:val="bullet"/>
      <w:lvlText w:val="o"/>
      <w:lvlJc w:val="left"/>
      <w:pPr>
        <w:ind w:left="2715" w:hanging="360"/>
      </w:pPr>
      <w:rPr>
        <w:rFonts w:ascii="Courier New" w:hAnsi="Courier New" w:cs="Courier New"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16">
    <w:nsid w:val="1616726C"/>
    <w:multiLevelType w:val="multilevel"/>
    <w:tmpl w:val="B8B80C6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6CE1FF1"/>
    <w:multiLevelType w:val="hybridMultilevel"/>
    <w:tmpl w:val="4BF2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0604CE1"/>
    <w:multiLevelType w:val="hybridMultilevel"/>
    <w:tmpl w:val="DFFE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11E25A9"/>
    <w:multiLevelType w:val="multilevel"/>
    <w:tmpl w:val="218EB7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4D70824"/>
    <w:multiLevelType w:val="hybridMultilevel"/>
    <w:tmpl w:val="0C44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7546F3E"/>
    <w:multiLevelType w:val="hybridMultilevel"/>
    <w:tmpl w:val="C15E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7C86293"/>
    <w:multiLevelType w:val="hybridMultilevel"/>
    <w:tmpl w:val="68B4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8950C21"/>
    <w:multiLevelType w:val="hybridMultilevel"/>
    <w:tmpl w:val="17A6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A6E7DE0"/>
    <w:multiLevelType w:val="hybridMultilevel"/>
    <w:tmpl w:val="FE00F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AEF3C1B"/>
    <w:multiLevelType w:val="hybridMultilevel"/>
    <w:tmpl w:val="30B03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B453B7C"/>
    <w:multiLevelType w:val="hybridMultilevel"/>
    <w:tmpl w:val="941E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D06688E"/>
    <w:multiLevelType w:val="hybridMultilevel"/>
    <w:tmpl w:val="DF6CD4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nsid w:val="2ECC7B74"/>
    <w:multiLevelType w:val="multilevel"/>
    <w:tmpl w:val="C26A1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23B50AB"/>
    <w:multiLevelType w:val="hybridMultilevel"/>
    <w:tmpl w:val="F05A6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5775406"/>
    <w:multiLevelType w:val="hybridMultilevel"/>
    <w:tmpl w:val="64C8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679703E"/>
    <w:multiLevelType w:val="hybridMultilevel"/>
    <w:tmpl w:val="9330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78C43B5"/>
    <w:multiLevelType w:val="hybridMultilevel"/>
    <w:tmpl w:val="567C4C4A"/>
    <w:lvl w:ilvl="0" w:tplc="2236E6C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nsid w:val="3FE02DDC"/>
    <w:multiLevelType w:val="hybridMultilevel"/>
    <w:tmpl w:val="1BBE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0E960B2"/>
    <w:multiLevelType w:val="hybridMultilevel"/>
    <w:tmpl w:val="9EAC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1A33EFD"/>
    <w:multiLevelType w:val="hybridMultilevel"/>
    <w:tmpl w:val="0F2A3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42F568C1"/>
    <w:multiLevelType w:val="multilevel"/>
    <w:tmpl w:val="B8B80C6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3431907"/>
    <w:multiLevelType w:val="hybridMultilevel"/>
    <w:tmpl w:val="A5C4E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4721108"/>
    <w:multiLevelType w:val="hybridMultilevel"/>
    <w:tmpl w:val="3C005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464E6111"/>
    <w:multiLevelType w:val="hybridMultilevel"/>
    <w:tmpl w:val="4B16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7A54EB6"/>
    <w:multiLevelType w:val="hybridMultilevel"/>
    <w:tmpl w:val="0054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C9A76A8"/>
    <w:multiLevelType w:val="hybridMultilevel"/>
    <w:tmpl w:val="9A40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FDD1C63"/>
    <w:multiLevelType w:val="hybridMultilevel"/>
    <w:tmpl w:val="5CB2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0725B32"/>
    <w:multiLevelType w:val="hybridMultilevel"/>
    <w:tmpl w:val="BDDE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19B61AE"/>
    <w:multiLevelType w:val="hybridMultilevel"/>
    <w:tmpl w:val="5824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2693AD2"/>
    <w:multiLevelType w:val="hybridMultilevel"/>
    <w:tmpl w:val="8214D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5277A77"/>
    <w:multiLevelType w:val="hybridMultilevel"/>
    <w:tmpl w:val="E55C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7A526A6"/>
    <w:multiLevelType w:val="hybridMultilevel"/>
    <w:tmpl w:val="ABB6E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585E653F"/>
    <w:multiLevelType w:val="hybridMultilevel"/>
    <w:tmpl w:val="A1F4B38C"/>
    <w:lvl w:ilvl="0" w:tplc="2236E6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8C076D1"/>
    <w:multiLevelType w:val="hybridMultilevel"/>
    <w:tmpl w:val="5FDA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B423192"/>
    <w:multiLevelType w:val="hybridMultilevel"/>
    <w:tmpl w:val="CA96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F2D7F6E"/>
    <w:multiLevelType w:val="hybridMultilevel"/>
    <w:tmpl w:val="FD66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0FA2B22"/>
    <w:multiLevelType w:val="hybridMultilevel"/>
    <w:tmpl w:val="05D29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1F6776E"/>
    <w:multiLevelType w:val="hybridMultilevel"/>
    <w:tmpl w:val="F3FE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5332FB9"/>
    <w:multiLevelType w:val="hybridMultilevel"/>
    <w:tmpl w:val="7A0825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nsid w:val="66F3353B"/>
    <w:multiLevelType w:val="hybridMultilevel"/>
    <w:tmpl w:val="CCD48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90A6616"/>
    <w:multiLevelType w:val="hybridMultilevel"/>
    <w:tmpl w:val="707A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AD95EAA"/>
    <w:multiLevelType w:val="hybridMultilevel"/>
    <w:tmpl w:val="DDB4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EDC456C"/>
    <w:multiLevelType w:val="hybridMultilevel"/>
    <w:tmpl w:val="1FF6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85A6848"/>
    <w:multiLevelType w:val="hybridMultilevel"/>
    <w:tmpl w:val="B280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C034E45"/>
    <w:multiLevelType w:val="hybridMultilevel"/>
    <w:tmpl w:val="E59C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39"/>
  </w:num>
  <w:num w:numId="4">
    <w:abstractNumId w:val="56"/>
  </w:num>
  <w:num w:numId="5">
    <w:abstractNumId w:val="54"/>
  </w:num>
  <w:num w:numId="6">
    <w:abstractNumId w:val="1"/>
  </w:num>
  <w:num w:numId="7">
    <w:abstractNumId w:val="58"/>
  </w:num>
  <w:num w:numId="8">
    <w:abstractNumId w:val="0"/>
  </w:num>
  <w:num w:numId="9">
    <w:abstractNumId w:val="26"/>
  </w:num>
  <w:num w:numId="10">
    <w:abstractNumId w:val="24"/>
  </w:num>
  <w:num w:numId="11">
    <w:abstractNumId w:val="4"/>
  </w:num>
  <w:num w:numId="12">
    <w:abstractNumId w:val="48"/>
  </w:num>
  <w:num w:numId="13">
    <w:abstractNumId w:val="32"/>
  </w:num>
  <w:num w:numId="14">
    <w:abstractNumId w:val="40"/>
  </w:num>
  <w:num w:numId="15">
    <w:abstractNumId w:val="27"/>
  </w:num>
  <w:num w:numId="16">
    <w:abstractNumId w:val="12"/>
  </w:num>
  <w:num w:numId="17">
    <w:abstractNumId w:val="49"/>
  </w:num>
  <w:num w:numId="18">
    <w:abstractNumId w:val="53"/>
  </w:num>
  <w:num w:numId="19">
    <w:abstractNumId w:val="10"/>
  </w:num>
  <w:num w:numId="20">
    <w:abstractNumId w:val="42"/>
  </w:num>
  <w:num w:numId="21">
    <w:abstractNumId w:val="35"/>
  </w:num>
  <w:num w:numId="22">
    <w:abstractNumId w:val="57"/>
  </w:num>
  <w:num w:numId="23">
    <w:abstractNumId w:val="21"/>
  </w:num>
  <w:num w:numId="24">
    <w:abstractNumId w:val="52"/>
  </w:num>
  <w:num w:numId="25">
    <w:abstractNumId w:val="30"/>
  </w:num>
  <w:num w:numId="26">
    <w:abstractNumId w:val="44"/>
  </w:num>
  <w:num w:numId="27">
    <w:abstractNumId w:val="45"/>
  </w:num>
  <w:num w:numId="28">
    <w:abstractNumId w:val="15"/>
  </w:num>
  <w:num w:numId="29">
    <w:abstractNumId w:val="7"/>
  </w:num>
  <w:num w:numId="30">
    <w:abstractNumId w:val="55"/>
  </w:num>
  <w:num w:numId="31">
    <w:abstractNumId w:val="28"/>
  </w:num>
  <w:num w:numId="32">
    <w:abstractNumId w:val="25"/>
  </w:num>
  <w:num w:numId="33">
    <w:abstractNumId w:val="19"/>
  </w:num>
  <w:num w:numId="34">
    <w:abstractNumId w:val="11"/>
  </w:num>
  <w:num w:numId="35">
    <w:abstractNumId w:val="3"/>
  </w:num>
  <w:num w:numId="36">
    <w:abstractNumId w:val="6"/>
  </w:num>
  <w:num w:numId="37">
    <w:abstractNumId w:val="16"/>
  </w:num>
  <w:num w:numId="38">
    <w:abstractNumId w:val="36"/>
  </w:num>
  <w:num w:numId="39">
    <w:abstractNumId w:val="38"/>
  </w:num>
  <w:num w:numId="40">
    <w:abstractNumId w:val="13"/>
  </w:num>
  <w:num w:numId="41">
    <w:abstractNumId w:val="17"/>
  </w:num>
  <w:num w:numId="42">
    <w:abstractNumId w:val="50"/>
  </w:num>
  <w:num w:numId="43">
    <w:abstractNumId w:val="20"/>
  </w:num>
  <w:num w:numId="44">
    <w:abstractNumId w:val="8"/>
  </w:num>
  <w:num w:numId="45">
    <w:abstractNumId w:val="47"/>
  </w:num>
  <w:num w:numId="46">
    <w:abstractNumId w:val="43"/>
  </w:num>
  <w:num w:numId="47">
    <w:abstractNumId w:val="33"/>
  </w:num>
  <w:num w:numId="48">
    <w:abstractNumId w:val="51"/>
  </w:num>
  <w:num w:numId="49">
    <w:abstractNumId w:val="59"/>
  </w:num>
  <w:num w:numId="50">
    <w:abstractNumId w:val="2"/>
  </w:num>
  <w:num w:numId="51">
    <w:abstractNumId w:val="29"/>
  </w:num>
  <w:num w:numId="52">
    <w:abstractNumId w:val="18"/>
  </w:num>
  <w:num w:numId="53">
    <w:abstractNumId w:val="5"/>
  </w:num>
  <w:num w:numId="54">
    <w:abstractNumId w:val="60"/>
  </w:num>
  <w:num w:numId="55">
    <w:abstractNumId w:val="31"/>
  </w:num>
  <w:num w:numId="56">
    <w:abstractNumId w:val="41"/>
  </w:num>
  <w:num w:numId="57">
    <w:abstractNumId w:val="46"/>
  </w:num>
  <w:num w:numId="58">
    <w:abstractNumId w:val="14"/>
  </w:num>
  <w:num w:numId="59">
    <w:abstractNumId w:val="34"/>
  </w:num>
  <w:num w:numId="60">
    <w:abstractNumId w:val="37"/>
  </w:num>
  <w:num w:numId="61">
    <w:abstractNumId w:val="2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rdan, Joanne">
    <w15:presenceInfo w15:providerId="None" w15:userId="Jordan, Joann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6024C1"/>
    <w:rsid w:val="0000610A"/>
    <w:rsid w:val="00007891"/>
    <w:rsid w:val="00010839"/>
    <w:rsid w:val="00011CB4"/>
    <w:rsid w:val="00020BF2"/>
    <w:rsid w:val="00020C8B"/>
    <w:rsid w:val="00024434"/>
    <w:rsid w:val="00024621"/>
    <w:rsid w:val="00026CCC"/>
    <w:rsid w:val="00026DDD"/>
    <w:rsid w:val="00033C38"/>
    <w:rsid w:val="00051130"/>
    <w:rsid w:val="0005353A"/>
    <w:rsid w:val="00074468"/>
    <w:rsid w:val="00080AB3"/>
    <w:rsid w:val="00083EF1"/>
    <w:rsid w:val="00084AC1"/>
    <w:rsid w:val="00085948"/>
    <w:rsid w:val="00085F26"/>
    <w:rsid w:val="00090545"/>
    <w:rsid w:val="00094FD5"/>
    <w:rsid w:val="000A7BC6"/>
    <w:rsid w:val="000B2066"/>
    <w:rsid w:val="000B22B9"/>
    <w:rsid w:val="000B41C0"/>
    <w:rsid w:val="000B54F5"/>
    <w:rsid w:val="000C309B"/>
    <w:rsid w:val="000C769C"/>
    <w:rsid w:val="000C7C88"/>
    <w:rsid w:val="000D247E"/>
    <w:rsid w:val="000D5F76"/>
    <w:rsid w:val="000D7145"/>
    <w:rsid w:val="000E22F9"/>
    <w:rsid w:val="000E3AEA"/>
    <w:rsid w:val="000E5AA4"/>
    <w:rsid w:val="000E6D8D"/>
    <w:rsid w:val="000E7C21"/>
    <w:rsid w:val="000F08B6"/>
    <w:rsid w:val="000F6F19"/>
    <w:rsid w:val="00125023"/>
    <w:rsid w:val="0012718B"/>
    <w:rsid w:val="001276D2"/>
    <w:rsid w:val="00132DA4"/>
    <w:rsid w:val="00133D3F"/>
    <w:rsid w:val="001343A7"/>
    <w:rsid w:val="00141BBA"/>
    <w:rsid w:val="00141F55"/>
    <w:rsid w:val="00153A8D"/>
    <w:rsid w:val="00157021"/>
    <w:rsid w:val="00157731"/>
    <w:rsid w:val="0016227C"/>
    <w:rsid w:val="0018045E"/>
    <w:rsid w:val="001804CE"/>
    <w:rsid w:val="00181270"/>
    <w:rsid w:val="001851A6"/>
    <w:rsid w:val="0018581E"/>
    <w:rsid w:val="001933E4"/>
    <w:rsid w:val="001939CE"/>
    <w:rsid w:val="00194A9D"/>
    <w:rsid w:val="00194ACC"/>
    <w:rsid w:val="001956CD"/>
    <w:rsid w:val="001A2D8D"/>
    <w:rsid w:val="001A4309"/>
    <w:rsid w:val="001A522F"/>
    <w:rsid w:val="001B6C8B"/>
    <w:rsid w:val="001C3A8C"/>
    <w:rsid w:val="001C4BF7"/>
    <w:rsid w:val="001C706E"/>
    <w:rsid w:val="001D085D"/>
    <w:rsid w:val="001D2153"/>
    <w:rsid w:val="001D5434"/>
    <w:rsid w:val="001E17A7"/>
    <w:rsid w:val="001E54FD"/>
    <w:rsid w:val="001E6381"/>
    <w:rsid w:val="00212FE6"/>
    <w:rsid w:val="002157CE"/>
    <w:rsid w:val="00226CD2"/>
    <w:rsid w:val="0023422F"/>
    <w:rsid w:val="00237B89"/>
    <w:rsid w:val="0024699E"/>
    <w:rsid w:val="0025418F"/>
    <w:rsid w:val="00255B2E"/>
    <w:rsid w:val="002605C4"/>
    <w:rsid w:val="00261FB8"/>
    <w:rsid w:val="00266A1E"/>
    <w:rsid w:val="00267AC3"/>
    <w:rsid w:val="00273B67"/>
    <w:rsid w:val="00284405"/>
    <w:rsid w:val="00284BC8"/>
    <w:rsid w:val="0028736A"/>
    <w:rsid w:val="00290F97"/>
    <w:rsid w:val="002A22DE"/>
    <w:rsid w:val="002A3BD7"/>
    <w:rsid w:val="002A59FF"/>
    <w:rsid w:val="002B0DDA"/>
    <w:rsid w:val="002B33D6"/>
    <w:rsid w:val="002B51AB"/>
    <w:rsid w:val="002B5546"/>
    <w:rsid w:val="002B5E96"/>
    <w:rsid w:val="002B6643"/>
    <w:rsid w:val="002B747D"/>
    <w:rsid w:val="002C7283"/>
    <w:rsid w:val="002C7E4D"/>
    <w:rsid w:val="002D2868"/>
    <w:rsid w:val="002D3021"/>
    <w:rsid w:val="002D362B"/>
    <w:rsid w:val="002F47D1"/>
    <w:rsid w:val="003012D2"/>
    <w:rsid w:val="00302913"/>
    <w:rsid w:val="00311F73"/>
    <w:rsid w:val="00312B0D"/>
    <w:rsid w:val="00314B59"/>
    <w:rsid w:val="00320EBA"/>
    <w:rsid w:val="00322D1E"/>
    <w:rsid w:val="00325354"/>
    <w:rsid w:val="00327651"/>
    <w:rsid w:val="00337616"/>
    <w:rsid w:val="003400D4"/>
    <w:rsid w:val="00340CE5"/>
    <w:rsid w:val="00342FB6"/>
    <w:rsid w:val="00351180"/>
    <w:rsid w:val="003537D7"/>
    <w:rsid w:val="00353CF5"/>
    <w:rsid w:val="003611C8"/>
    <w:rsid w:val="003663B2"/>
    <w:rsid w:val="0037041A"/>
    <w:rsid w:val="00371138"/>
    <w:rsid w:val="003733F4"/>
    <w:rsid w:val="00375351"/>
    <w:rsid w:val="003775ED"/>
    <w:rsid w:val="00377F8C"/>
    <w:rsid w:val="00381330"/>
    <w:rsid w:val="00382FCB"/>
    <w:rsid w:val="0038467D"/>
    <w:rsid w:val="00393585"/>
    <w:rsid w:val="0039360B"/>
    <w:rsid w:val="00395273"/>
    <w:rsid w:val="003A001F"/>
    <w:rsid w:val="003A0A9E"/>
    <w:rsid w:val="003A700A"/>
    <w:rsid w:val="003B62FF"/>
    <w:rsid w:val="003B7D4D"/>
    <w:rsid w:val="003C5FD7"/>
    <w:rsid w:val="003C631B"/>
    <w:rsid w:val="003C6C78"/>
    <w:rsid w:val="003C78A4"/>
    <w:rsid w:val="003D1494"/>
    <w:rsid w:val="003D2338"/>
    <w:rsid w:val="003D2771"/>
    <w:rsid w:val="003D77DE"/>
    <w:rsid w:val="003E71DB"/>
    <w:rsid w:val="003E7D6C"/>
    <w:rsid w:val="003F0BB8"/>
    <w:rsid w:val="003F3E73"/>
    <w:rsid w:val="00406EB9"/>
    <w:rsid w:val="00413512"/>
    <w:rsid w:val="0041682F"/>
    <w:rsid w:val="004202AC"/>
    <w:rsid w:val="00420B3C"/>
    <w:rsid w:val="00422214"/>
    <w:rsid w:val="00422286"/>
    <w:rsid w:val="0042676A"/>
    <w:rsid w:val="004353D7"/>
    <w:rsid w:val="00436239"/>
    <w:rsid w:val="004368F6"/>
    <w:rsid w:val="00446C81"/>
    <w:rsid w:val="00447682"/>
    <w:rsid w:val="00450668"/>
    <w:rsid w:val="00450F46"/>
    <w:rsid w:val="00453290"/>
    <w:rsid w:val="00463F41"/>
    <w:rsid w:val="00464006"/>
    <w:rsid w:val="00464223"/>
    <w:rsid w:val="004669C3"/>
    <w:rsid w:val="004721F2"/>
    <w:rsid w:val="00474C02"/>
    <w:rsid w:val="004778EE"/>
    <w:rsid w:val="00484113"/>
    <w:rsid w:val="00485A56"/>
    <w:rsid w:val="0049061C"/>
    <w:rsid w:val="00493157"/>
    <w:rsid w:val="00493C46"/>
    <w:rsid w:val="004A7D95"/>
    <w:rsid w:val="004B00E9"/>
    <w:rsid w:val="004B2194"/>
    <w:rsid w:val="004B2850"/>
    <w:rsid w:val="004C4E51"/>
    <w:rsid w:val="004C5478"/>
    <w:rsid w:val="004C7CAB"/>
    <w:rsid w:val="004C7D58"/>
    <w:rsid w:val="004D41D1"/>
    <w:rsid w:val="004E04B0"/>
    <w:rsid w:val="004E0BB8"/>
    <w:rsid w:val="004E0BE5"/>
    <w:rsid w:val="004E2E4A"/>
    <w:rsid w:val="004E620F"/>
    <w:rsid w:val="004E735C"/>
    <w:rsid w:val="004F0E20"/>
    <w:rsid w:val="004F1B2D"/>
    <w:rsid w:val="004F1BDB"/>
    <w:rsid w:val="004F41AF"/>
    <w:rsid w:val="004F693F"/>
    <w:rsid w:val="005003E3"/>
    <w:rsid w:val="005008CE"/>
    <w:rsid w:val="00500BCA"/>
    <w:rsid w:val="0051160A"/>
    <w:rsid w:val="00522825"/>
    <w:rsid w:val="005279A6"/>
    <w:rsid w:val="0053056D"/>
    <w:rsid w:val="005356A6"/>
    <w:rsid w:val="0053598B"/>
    <w:rsid w:val="00535B02"/>
    <w:rsid w:val="00543061"/>
    <w:rsid w:val="00551990"/>
    <w:rsid w:val="00553B09"/>
    <w:rsid w:val="00556D42"/>
    <w:rsid w:val="0056513C"/>
    <w:rsid w:val="005670CE"/>
    <w:rsid w:val="00567A9E"/>
    <w:rsid w:val="00571159"/>
    <w:rsid w:val="005726F2"/>
    <w:rsid w:val="00574985"/>
    <w:rsid w:val="00575B27"/>
    <w:rsid w:val="0059248B"/>
    <w:rsid w:val="0059268E"/>
    <w:rsid w:val="00593B10"/>
    <w:rsid w:val="00594F76"/>
    <w:rsid w:val="00595D94"/>
    <w:rsid w:val="005A0E42"/>
    <w:rsid w:val="005A26CE"/>
    <w:rsid w:val="005A7537"/>
    <w:rsid w:val="005B15AC"/>
    <w:rsid w:val="005B1C18"/>
    <w:rsid w:val="005B1DE0"/>
    <w:rsid w:val="005B4532"/>
    <w:rsid w:val="005B48F0"/>
    <w:rsid w:val="005C1FB1"/>
    <w:rsid w:val="005C58A4"/>
    <w:rsid w:val="005C63AE"/>
    <w:rsid w:val="005D082C"/>
    <w:rsid w:val="005D1C9C"/>
    <w:rsid w:val="005D2396"/>
    <w:rsid w:val="005D60E3"/>
    <w:rsid w:val="005D6627"/>
    <w:rsid w:val="005D758C"/>
    <w:rsid w:val="005E36BF"/>
    <w:rsid w:val="005E4B91"/>
    <w:rsid w:val="005E4BEA"/>
    <w:rsid w:val="005E60F2"/>
    <w:rsid w:val="005E61F5"/>
    <w:rsid w:val="005F49EF"/>
    <w:rsid w:val="005F600E"/>
    <w:rsid w:val="006024C1"/>
    <w:rsid w:val="00610D8E"/>
    <w:rsid w:val="00612C81"/>
    <w:rsid w:val="00614440"/>
    <w:rsid w:val="0061630A"/>
    <w:rsid w:val="00631321"/>
    <w:rsid w:val="00631BF2"/>
    <w:rsid w:val="006328E3"/>
    <w:rsid w:val="00632D5C"/>
    <w:rsid w:val="006339D7"/>
    <w:rsid w:val="0064179D"/>
    <w:rsid w:val="00645D13"/>
    <w:rsid w:val="00653CC3"/>
    <w:rsid w:val="00664C46"/>
    <w:rsid w:val="006701FC"/>
    <w:rsid w:val="0067462E"/>
    <w:rsid w:val="00676B54"/>
    <w:rsid w:val="00682A57"/>
    <w:rsid w:val="00687E8D"/>
    <w:rsid w:val="006937F4"/>
    <w:rsid w:val="006971B0"/>
    <w:rsid w:val="006A16BB"/>
    <w:rsid w:val="006A25E7"/>
    <w:rsid w:val="006A3001"/>
    <w:rsid w:val="006B0AE5"/>
    <w:rsid w:val="006B237A"/>
    <w:rsid w:val="006B5E02"/>
    <w:rsid w:val="006B6525"/>
    <w:rsid w:val="006C11C1"/>
    <w:rsid w:val="006D0D7D"/>
    <w:rsid w:val="006D3BA5"/>
    <w:rsid w:val="006D71E7"/>
    <w:rsid w:val="006E025E"/>
    <w:rsid w:val="006E1090"/>
    <w:rsid w:val="006E3DB0"/>
    <w:rsid w:val="006E40CA"/>
    <w:rsid w:val="006E49B0"/>
    <w:rsid w:val="00704D9B"/>
    <w:rsid w:val="00711331"/>
    <w:rsid w:val="007223DB"/>
    <w:rsid w:val="007278BE"/>
    <w:rsid w:val="00732D67"/>
    <w:rsid w:val="00733C1A"/>
    <w:rsid w:val="00735481"/>
    <w:rsid w:val="00735DA1"/>
    <w:rsid w:val="0073615B"/>
    <w:rsid w:val="00736770"/>
    <w:rsid w:val="00737C1F"/>
    <w:rsid w:val="00740B77"/>
    <w:rsid w:val="00744420"/>
    <w:rsid w:val="00745E5F"/>
    <w:rsid w:val="00750F57"/>
    <w:rsid w:val="007521E2"/>
    <w:rsid w:val="00752923"/>
    <w:rsid w:val="007606CF"/>
    <w:rsid w:val="00763600"/>
    <w:rsid w:val="00767274"/>
    <w:rsid w:val="00773192"/>
    <w:rsid w:val="00774058"/>
    <w:rsid w:val="00776278"/>
    <w:rsid w:val="007802A3"/>
    <w:rsid w:val="00781496"/>
    <w:rsid w:val="00783F24"/>
    <w:rsid w:val="00784656"/>
    <w:rsid w:val="00787E6D"/>
    <w:rsid w:val="00791018"/>
    <w:rsid w:val="00792AEA"/>
    <w:rsid w:val="00797E83"/>
    <w:rsid w:val="007A06BA"/>
    <w:rsid w:val="007A323C"/>
    <w:rsid w:val="007A4D85"/>
    <w:rsid w:val="007B0683"/>
    <w:rsid w:val="007B156F"/>
    <w:rsid w:val="007B6752"/>
    <w:rsid w:val="007C076D"/>
    <w:rsid w:val="007C183F"/>
    <w:rsid w:val="007C1B1A"/>
    <w:rsid w:val="007C30C4"/>
    <w:rsid w:val="007C3A26"/>
    <w:rsid w:val="007C4A46"/>
    <w:rsid w:val="007C59E6"/>
    <w:rsid w:val="007D5939"/>
    <w:rsid w:val="007D6751"/>
    <w:rsid w:val="007E2D27"/>
    <w:rsid w:val="007E3B8A"/>
    <w:rsid w:val="008212E0"/>
    <w:rsid w:val="008305FC"/>
    <w:rsid w:val="008320B4"/>
    <w:rsid w:val="00836326"/>
    <w:rsid w:val="00840C8B"/>
    <w:rsid w:val="00842495"/>
    <w:rsid w:val="00844FB8"/>
    <w:rsid w:val="00845955"/>
    <w:rsid w:val="008475CD"/>
    <w:rsid w:val="00853B0F"/>
    <w:rsid w:val="0085652C"/>
    <w:rsid w:val="00856F4D"/>
    <w:rsid w:val="008603B3"/>
    <w:rsid w:val="0086196A"/>
    <w:rsid w:val="00866495"/>
    <w:rsid w:val="00866502"/>
    <w:rsid w:val="008666B4"/>
    <w:rsid w:val="00867978"/>
    <w:rsid w:val="00871623"/>
    <w:rsid w:val="00872FDD"/>
    <w:rsid w:val="00874A73"/>
    <w:rsid w:val="008815F9"/>
    <w:rsid w:val="0088262C"/>
    <w:rsid w:val="00887D27"/>
    <w:rsid w:val="008961D5"/>
    <w:rsid w:val="00897B3D"/>
    <w:rsid w:val="008A0E24"/>
    <w:rsid w:val="008A12AC"/>
    <w:rsid w:val="008A3864"/>
    <w:rsid w:val="008A4D65"/>
    <w:rsid w:val="008B6581"/>
    <w:rsid w:val="008C1328"/>
    <w:rsid w:val="008C305C"/>
    <w:rsid w:val="008C640D"/>
    <w:rsid w:val="008C6DC2"/>
    <w:rsid w:val="008D4A87"/>
    <w:rsid w:val="008D561C"/>
    <w:rsid w:val="008E04ED"/>
    <w:rsid w:val="008E15B6"/>
    <w:rsid w:val="008E221A"/>
    <w:rsid w:val="008E74C2"/>
    <w:rsid w:val="008F047F"/>
    <w:rsid w:val="008F22D0"/>
    <w:rsid w:val="008F327A"/>
    <w:rsid w:val="008F768C"/>
    <w:rsid w:val="00902499"/>
    <w:rsid w:val="00902D03"/>
    <w:rsid w:val="009062EA"/>
    <w:rsid w:val="00906859"/>
    <w:rsid w:val="00911287"/>
    <w:rsid w:val="00911899"/>
    <w:rsid w:val="00913713"/>
    <w:rsid w:val="00920826"/>
    <w:rsid w:val="0092269A"/>
    <w:rsid w:val="00923910"/>
    <w:rsid w:val="00924DA1"/>
    <w:rsid w:val="00934B61"/>
    <w:rsid w:val="0094118D"/>
    <w:rsid w:val="0094149B"/>
    <w:rsid w:val="00945374"/>
    <w:rsid w:val="009514A1"/>
    <w:rsid w:val="00966161"/>
    <w:rsid w:val="00971F95"/>
    <w:rsid w:val="00972D7E"/>
    <w:rsid w:val="00973B76"/>
    <w:rsid w:val="00980844"/>
    <w:rsid w:val="00981A27"/>
    <w:rsid w:val="00983F99"/>
    <w:rsid w:val="009963C6"/>
    <w:rsid w:val="009A08CF"/>
    <w:rsid w:val="009B2F9F"/>
    <w:rsid w:val="009C2C6E"/>
    <w:rsid w:val="009C3243"/>
    <w:rsid w:val="009C6F50"/>
    <w:rsid w:val="009C7AF8"/>
    <w:rsid w:val="009D06BC"/>
    <w:rsid w:val="009D3A0B"/>
    <w:rsid w:val="009D3F2E"/>
    <w:rsid w:val="009D6E5E"/>
    <w:rsid w:val="009E00D2"/>
    <w:rsid w:val="009E1995"/>
    <w:rsid w:val="009E5EDA"/>
    <w:rsid w:val="009F28B0"/>
    <w:rsid w:val="009F37B2"/>
    <w:rsid w:val="00A044F4"/>
    <w:rsid w:val="00A135E6"/>
    <w:rsid w:val="00A15410"/>
    <w:rsid w:val="00A3108A"/>
    <w:rsid w:val="00A40F59"/>
    <w:rsid w:val="00A4130B"/>
    <w:rsid w:val="00A41353"/>
    <w:rsid w:val="00A417E6"/>
    <w:rsid w:val="00A43AAC"/>
    <w:rsid w:val="00A52C75"/>
    <w:rsid w:val="00A537C4"/>
    <w:rsid w:val="00A53A9C"/>
    <w:rsid w:val="00A5408A"/>
    <w:rsid w:val="00A5449D"/>
    <w:rsid w:val="00A56AB7"/>
    <w:rsid w:val="00A65FC5"/>
    <w:rsid w:val="00A6629F"/>
    <w:rsid w:val="00A6698A"/>
    <w:rsid w:val="00A676F9"/>
    <w:rsid w:val="00A67E26"/>
    <w:rsid w:val="00A70B47"/>
    <w:rsid w:val="00A712FD"/>
    <w:rsid w:val="00A728BC"/>
    <w:rsid w:val="00A80F06"/>
    <w:rsid w:val="00A866E2"/>
    <w:rsid w:val="00A86ED7"/>
    <w:rsid w:val="00AA1A53"/>
    <w:rsid w:val="00AA2127"/>
    <w:rsid w:val="00AA2F09"/>
    <w:rsid w:val="00AA47F3"/>
    <w:rsid w:val="00AA6B59"/>
    <w:rsid w:val="00AB0BEC"/>
    <w:rsid w:val="00AB2B0B"/>
    <w:rsid w:val="00AB6B61"/>
    <w:rsid w:val="00AD04F1"/>
    <w:rsid w:val="00AD2E0B"/>
    <w:rsid w:val="00AD7757"/>
    <w:rsid w:val="00AE27CB"/>
    <w:rsid w:val="00AE487D"/>
    <w:rsid w:val="00AE59C5"/>
    <w:rsid w:val="00AF0CE8"/>
    <w:rsid w:val="00AF0E78"/>
    <w:rsid w:val="00AF7D54"/>
    <w:rsid w:val="00B11ED7"/>
    <w:rsid w:val="00B148AE"/>
    <w:rsid w:val="00B157B8"/>
    <w:rsid w:val="00B22367"/>
    <w:rsid w:val="00B2541F"/>
    <w:rsid w:val="00B268EE"/>
    <w:rsid w:val="00B27483"/>
    <w:rsid w:val="00B27549"/>
    <w:rsid w:val="00B31942"/>
    <w:rsid w:val="00B32299"/>
    <w:rsid w:val="00B3559B"/>
    <w:rsid w:val="00B35D20"/>
    <w:rsid w:val="00B41D76"/>
    <w:rsid w:val="00B47A95"/>
    <w:rsid w:val="00B50B3F"/>
    <w:rsid w:val="00B62339"/>
    <w:rsid w:val="00B62AE6"/>
    <w:rsid w:val="00B651D8"/>
    <w:rsid w:val="00B741D8"/>
    <w:rsid w:val="00B7696B"/>
    <w:rsid w:val="00B806B6"/>
    <w:rsid w:val="00B81105"/>
    <w:rsid w:val="00B81E5C"/>
    <w:rsid w:val="00B8635D"/>
    <w:rsid w:val="00B878D8"/>
    <w:rsid w:val="00B9094D"/>
    <w:rsid w:val="00B93C01"/>
    <w:rsid w:val="00B9564F"/>
    <w:rsid w:val="00BA0319"/>
    <w:rsid w:val="00BA1200"/>
    <w:rsid w:val="00BA494F"/>
    <w:rsid w:val="00BA6CE4"/>
    <w:rsid w:val="00BA7449"/>
    <w:rsid w:val="00BB0898"/>
    <w:rsid w:val="00BB2C2E"/>
    <w:rsid w:val="00BB42D3"/>
    <w:rsid w:val="00BB4BDE"/>
    <w:rsid w:val="00BB6756"/>
    <w:rsid w:val="00BB771A"/>
    <w:rsid w:val="00BC1855"/>
    <w:rsid w:val="00BC1F0D"/>
    <w:rsid w:val="00BC20DC"/>
    <w:rsid w:val="00BC43AB"/>
    <w:rsid w:val="00BC773B"/>
    <w:rsid w:val="00BC7946"/>
    <w:rsid w:val="00BD04C1"/>
    <w:rsid w:val="00BD29B6"/>
    <w:rsid w:val="00BE50F2"/>
    <w:rsid w:val="00BE7E6D"/>
    <w:rsid w:val="00BF26C7"/>
    <w:rsid w:val="00BF4437"/>
    <w:rsid w:val="00BF5B3E"/>
    <w:rsid w:val="00BF64AB"/>
    <w:rsid w:val="00C02005"/>
    <w:rsid w:val="00C026B3"/>
    <w:rsid w:val="00C07845"/>
    <w:rsid w:val="00C12842"/>
    <w:rsid w:val="00C14B46"/>
    <w:rsid w:val="00C16268"/>
    <w:rsid w:val="00C227E9"/>
    <w:rsid w:val="00C33030"/>
    <w:rsid w:val="00C33C55"/>
    <w:rsid w:val="00C35C73"/>
    <w:rsid w:val="00C362F3"/>
    <w:rsid w:val="00C4321C"/>
    <w:rsid w:val="00C50BE6"/>
    <w:rsid w:val="00C52486"/>
    <w:rsid w:val="00C62F97"/>
    <w:rsid w:val="00C635E1"/>
    <w:rsid w:val="00C64139"/>
    <w:rsid w:val="00C65E6D"/>
    <w:rsid w:val="00C67DB7"/>
    <w:rsid w:val="00C725D9"/>
    <w:rsid w:val="00C751EB"/>
    <w:rsid w:val="00C8794A"/>
    <w:rsid w:val="00C90437"/>
    <w:rsid w:val="00C9047C"/>
    <w:rsid w:val="00C931FA"/>
    <w:rsid w:val="00CA753F"/>
    <w:rsid w:val="00CB2F10"/>
    <w:rsid w:val="00CB768B"/>
    <w:rsid w:val="00CC6535"/>
    <w:rsid w:val="00CC7A4D"/>
    <w:rsid w:val="00CC7EAD"/>
    <w:rsid w:val="00CD3444"/>
    <w:rsid w:val="00CD4B92"/>
    <w:rsid w:val="00CD73B5"/>
    <w:rsid w:val="00CE388A"/>
    <w:rsid w:val="00CF4567"/>
    <w:rsid w:val="00CF794D"/>
    <w:rsid w:val="00D01526"/>
    <w:rsid w:val="00D025A7"/>
    <w:rsid w:val="00D02D67"/>
    <w:rsid w:val="00D036C8"/>
    <w:rsid w:val="00D125B5"/>
    <w:rsid w:val="00D17024"/>
    <w:rsid w:val="00D2155F"/>
    <w:rsid w:val="00D247B5"/>
    <w:rsid w:val="00D266BD"/>
    <w:rsid w:val="00D32199"/>
    <w:rsid w:val="00D37CD9"/>
    <w:rsid w:val="00D42164"/>
    <w:rsid w:val="00D42856"/>
    <w:rsid w:val="00D43FF4"/>
    <w:rsid w:val="00D4563A"/>
    <w:rsid w:val="00D45DE7"/>
    <w:rsid w:val="00D5085E"/>
    <w:rsid w:val="00D52A48"/>
    <w:rsid w:val="00D60DA9"/>
    <w:rsid w:val="00D65D66"/>
    <w:rsid w:val="00D65E07"/>
    <w:rsid w:val="00D67427"/>
    <w:rsid w:val="00D67753"/>
    <w:rsid w:val="00D7059F"/>
    <w:rsid w:val="00D72DDA"/>
    <w:rsid w:val="00D74BAD"/>
    <w:rsid w:val="00D776D9"/>
    <w:rsid w:val="00D77A3F"/>
    <w:rsid w:val="00D84BB1"/>
    <w:rsid w:val="00D860EB"/>
    <w:rsid w:val="00D92213"/>
    <w:rsid w:val="00D93A48"/>
    <w:rsid w:val="00D93EFB"/>
    <w:rsid w:val="00D94CE6"/>
    <w:rsid w:val="00D95115"/>
    <w:rsid w:val="00D96A73"/>
    <w:rsid w:val="00D96E67"/>
    <w:rsid w:val="00DA68CE"/>
    <w:rsid w:val="00DA6AB7"/>
    <w:rsid w:val="00DA77C1"/>
    <w:rsid w:val="00DB5FC5"/>
    <w:rsid w:val="00DB7E4B"/>
    <w:rsid w:val="00DC08AC"/>
    <w:rsid w:val="00DC2BC2"/>
    <w:rsid w:val="00DC7D25"/>
    <w:rsid w:val="00DD195A"/>
    <w:rsid w:val="00DD6ECF"/>
    <w:rsid w:val="00DD704C"/>
    <w:rsid w:val="00DE665A"/>
    <w:rsid w:val="00DF2B8E"/>
    <w:rsid w:val="00DF3620"/>
    <w:rsid w:val="00DF7699"/>
    <w:rsid w:val="00E00BD9"/>
    <w:rsid w:val="00E0352F"/>
    <w:rsid w:val="00E05C8C"/>
    <w:rsid w:val="00E06082"/>
    <w:rsid w:val="00E077F1"/>
    <w:rsid w:val="00E11793"/>
    <w:rsid w:val="00E130E0"/>
    <w:rsid w:val="00E152FF"/>
    <w:rsid w:val="00E16C65"/>
    <w:rsid w:val="00E20A51"/>
    <w:rsid w:val="00E20CD1"/>
    <w:rsid w:val="00E4362A"/>
    <w:rsid w:val="00E449EE"/>
    <w:rsid w:val="00E460D4"/>
    <w:rsid w:val="00E47A92"/>
    <w:rsid w:val="00E51501"/>
    <w:rsid w:val="00E52EE3"/>
    <w:rsid w:val="00E56288"/>
    <w:rsid w:val="00E56C2D"/>
    <w:rsid w:val="00E60F07"/>
    <w:rsid w:val="00E65973"/>
    <w:rsid w:val="00E804AD"/>
    <w:rsid w:val="00E85B54"/>
    <w:rsid w:val="00E965D3"/>
    <w:rsid w:val="00EA2CEF"/>
    <w:rsid w:val="00EA59D9"/>
    <w:rsid w:val="00EA79E7"/>
    <w:rsid w:val="00EB1A1C"/>
    <w:rsid w:val="00EB3DEE"/>
    <w:rsid w:val="00EB7259"/>
    <w:rsid w:val="00EC0EB7"/>
    <w:rsid w:val="00EC1ABC"/>
    <w:rsid w:val="00EC2E5C"/>
    <w:rsid w:val="00EC37D1"/>
    <w:rsid w:val="00EC6377"/>
    <w:rsid w:val="00ED1DAD"/>
    <w:rsid w:val="00ED31F4"/>
    <w:rsid w:val="00ED3CBE"/>
    <w:rsid w:val="00ED4304"/>
    <w:rsid w:val="00ED71D2"/>
    <w:rsid w:val="00EE0074"/>
    <w:rsid w:val="00EE4B80"/>
    <w:rsid w:val="00EF0393"/>
    <w:rsid w:val="00EF0C39"/>
    <w:rsid w:val="00EF108E"/>
    <w:rsid w:val="00EF27B4"/>
    <w:rsid w:val="00EF28CB"/>
    <w:rsid w:val="00EF3ADE"/>
    <w:rsid w:val="00EF4FD9"/>
    <w:rsid w:val="00F02C57"/>
    <w:rsid w:val="00F04E11"/>
    <w:rsid w:val="00F15D38"/>
    <w:rsid w:val="00F210F0"/>
    <w:rsid w:val="00F41778"/>
    <w:rsid w:val="00F437B5"/>
    <w:rsid w:val="00F43EC3"/>
    <w:rsid w:val="00F44B27"/>
    <w:rsid w:val="00F45B9B"/>
    <w:rsid w:val="00F468E2"/>
    <w:rsid w:val="00F47430"/>
    <w:rsid w:val="00F47CD4"/>
    <w:rsid w:val="00F50074"/>
    <w:rsid w:val="00F50941"/>
    <w:rsid w:val="00F558EC"/>
    <w:rsid w:val="00F60B23"/>
    <w:rsid w:val="00F63FE6"/>
    <w:rsid w:val="00F64878"/>
    <w:rsid w:val="00F64DC3"/>
    <w:rsid w:val="00F70B8A"/>
    <w:rsid w:val="00F72226"/>
    <w:rsid w:val="00F73E38"/>
    <w:rsid w:val="00F7541F"/>
    <w:rsid w:val="00F8383D"/>
    <w:rsid w:val="00F92E7D"/>
    <w:rsid w:val="00F94FEB"/>
    <w:rsid w:val="00FA1270"/>
    <w:rsid w:val="00FA2FEA"/>
    <w:rsid w:val="00FA7EB3"/>
    <w:rsid w:val="00FB3A92"/>
    <w:rsid w:val="00FB413C"/>
    <w:rsid w:val="00FC06C7"/>
    <w:rsid w:val="00FC205F"/>
    <w:rsid w:val="00FC4691"/>
    <w:rsid w:val="00FD3F13"/>
    <w:rsid w:val="00FD504D"/>
    <w:rsid w:val="00FE0DEC"/>
    <w:rsid w:val="00FE1594"/>
    <w:rsid w:val="00FE17EF"/>
    <w:rsid w:val="00FF2BDC"/>
    <w:rsid w:val="00FF57FF"/>
    <w:rsid w:val="00FF66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353"/>
  </w:style>
  <w:style w:type="paragraph" w:styleId="Heading1">
    <w:name w:val="heading 1"/>
    <w:basedOn w:val="Normal"/>
    <w:next w:val="Normal"/>
    <w:link w:val="Heading1Char"/>
    <w:qFormat/>
    <w:rsid w:val="00493157"/>
    <w:pPr>
      <w:keepNext/>
      <w:spacing w:after="0" w:line="240" w:lineRule="auto"/>
      <w:ind w:right="-694"/>
      <w:jc w:val="center"/>
      <w:outlineLvl w:val="0"/>
    </w:pPr>
    <w:rPr>
      <w:rFonts w:ascii="Arial" w:eastAsia="Times New Roman" w:hAnsi="Arial" w:cs="Arial"/>
      <w:b/>
      <w:bCs/>
      <w:sz w:val="24"/>
      <w:szCs w:val="24"/>
    </w:rPr>
  </w:style>
  <w:style w:type="paragraph" w:styleId="Heading2">
    <w:name w:val="heading 2"/>
    <w:basedOn w:val="Normal"/>
    <w:next w:val="Normal"/>
    <w:link w:val="Heading2Char"/>
    <w:qFormat/>
    <w:rsid w:val="00493157"/>
    <w:pPr>
      <w:keepNext/>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semiHidden/>
    <w:unhideWhenUsed/>
    <w:qFormat/>
    <w:rsid w:val="005A0E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1B2D"/>
    <w:pPr>
      <w:ind w:left="720"/>
      <w:contextualSpacing/>
    </w:pPr>
  </w:style>
  <w:style w:type="paragraph" w:customStyle="1" w:styleId="Default">
    <w:name w:val="Default"/>
    <w:rsid w:val="004F1B2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83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F24"/>
    <w:rPr>
      <w:rFonts w:ascii="Tahoma" w:hAnsi="Tahoma" w:cs="Tahoma"/>
      <w:sz w:val="16"/>
      <w:szCs w:val="16"/>
    </w:rPr>
  </w:style>
  <w:style w:type="table" w:styleId="TableGrid">
    <w:name w:val="Table Grid"/>
    <w:basedOn w:val="TableNormal"/>
    <w:uiPriority w:val="59"/>
    <w:rsid w:val="005C6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textbody">
    <w:name w:val="Main text body"/>
    <w:basedOn w:val="Default"/>
    <w:next w:val="Default"/>
    <w:uiPriority w:val="99"/>
    <w:rsid w:val="006971B0"/>
    <w:rPr>
      <w:rFonts w:ascii="Arial" w:hAnsi="Arial" w:cs="Arial"/>
      <w:color w:val="auto"/>
    </w:rPr>
  </w:style>
  <w:style w:type="character" w:customStyle="1" w:styleId="Heading1Char">
    <w:name w:val="Heading 1 Char"/>
    <w:basedOn w:val="DefaultParagraphFont"/>
    <w:link w:val="Heading1"/>
    <w:rsid w:val="00493157"/>
    <w:rPr>
      <w:rFonts w:ascii="Arial" w:eastAsia="Times New Roman" w:hAnsi="Arial" w:cs="Arial"/>
      <w:b/>
      <w:bCs/>
      <w:sz w:val="24"/>
      <w:szCs w:val="24"/>
    </w:rPr>
  </w:style>
  <w:style w:type="character" w:customStyle="1" w:styleId="Heading2Char">
    <w:name w:val="Heading 2 Char"/>
    <w:basedOn w:val="DefaultParagraphFont"/>
    <w:link w:val="Heading2"/>
    <w:rsid w:val="00493157"/>
    <w:rPr>
      <w:rFonts w:ascii="Arial" w:eastAsia="Times New Roman" w:hAnsi="Arial" w:cs="Arial"/>
      <w:b/>
      <w:bCs/>
      <w:sz w:val="24"/>
      <w:szCs w:val="24"/>
    </w:rPr>
  </w:style>
  <w:style w:type="paragraph" w:styleId="Header">
    <w:name w:val="header"/>
    <w:basedOn w:val="Normal"/>
    <w:link w:val="HeaderChar"/>
    <w:uiPriority w:val="99"/>
    <w:semiHidden/>
    <w:unhideWhenUsed/>
    <w:rsid w:val="001622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6227C"/>
  </w:style>
  <w:style w:type="paragraph" w:styleId="Footer">
    <w:name w:val="footer"/>
    <w:basedOn w:val="Normal"/>
    <w:link w:val="FooterChar"/>
    <w:uiPriority w:val="99"/>
    <w:unhideWhenUsed/>
    <w:rsid w:val="00162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27C"/>
  </w:style>
  <w:style w:type="character" w:styleId="CommentReference">
    <w:name w:val="annotation reference"/>
    <w:basedOn w:val="DefaultParagraphFont"/>
    <w:uiPriority w:val="99"/>
    <w:semiHidden/>
    <w:unhideWhenUsed/>
    <w:rsid w:val="001956CD"/>
    <w:rPr>
      <w:sz w:val="16"/>
      <w:szCs w:val="16"/>
    </w:rPr>
  </w:style>
  <w:style w:type="paragraph" w:styleId="CommentText">
    <w:name w:val="annotation text"/>
    <w:basedOn w:val="Normal"/>
    <w:link w:val="CommentTextChar"/>
    <w:uiPriority w:val="99"/>
    <w:unhideWhenUsed/>
    <w:rsid w:val="001956CD"/>
    <w:pPr>
      <w:spacing w:line="240" w:lineRule="auto"/>
    </w:pPr>
    <w:rPr>
      <w:sz w:val="20"/>
      <w:szCs w:val="20"/>
    </w:rPr>
  </w:style>
  <w:style w:type="character" w:customStyle="1" w:styleId="CommentTextChar">
    <w:name w:val="Comment Text Char"/>
    <w:basedOn w:val="DefaultParagraphFont"/>
    <w:link w:val="CommentText"/>
    <w:uiPriority w:val="99"/>
    <w:rsid w:val="001956CD"/>
    <w:rPr>
      <w:sz w:val="20"/>
      <w:szCs w:val="20"/>
    </w:rPr>
  </w:style>
  <w:style w:type="paragraph" w:styleId="FootnoteText">
    <w:name w:val="footnote text"/>
    <w:basedOn w:val="Normal"/>
    <w:link w:val="FootnoteTextChar"/>
    <w:uiPriority w:val="99"/>
    <w:semiHidden/>
    <w:unhideWhenUsed/>
    <w:rsid w:val="005926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268E"/>
    <w:rPr>
      <w:sz w:val="20"/>
      <w:szCs w:val="20"/>
    </w:rPr>
  </w:style>
  <w:style w:type="character" w:styleId="FootnoteReference">
    <w:name w:val="footnote reference"/>
    <w:basedOn w:val="DefaultParagraphFont"/>
    <w:uiPriority w:val="99"/>
    <w:semiHidden/>
    <w:unhideWhenUsed/>
    <w:rsid w:val="0059268E"/>
    <w:rPr>
      <w:vertAlign w:val="superscript"/>
    </w:rPr>
  </w:style>
  <w:style w:type="paragraph" w:styleId="EndnoteText">
    <w:name w:val="endnote text"/>
    <w:basedOn w:val="Normal"/>
    <w:link w:val="EndnoteTextChar"/>
    <w:uiPriority w:val="99"/>
    <w:semiHidden/>
    <w:unhideWhenUsed/>
    <w:rsid w:val="008603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03B3"/>
    <w:rPr>
      <w:sz w:val="20"/>
      <w:szCs w:val="20"/>
    </w:rPr>
  </w:style>
  <w:style w:type="character" w:styleId="EndnoteReference">
    <w:name w:val="endnote reference"/>
    <w:basedOn w:val="DefaultParagraphFont"/>
    <w:uiPriority w:val="99"/>
    <w:semiHidden/>
    <w:unhideWhenUsed/>
    <w:rsid w:val="008603B3"/>
    <w:rPr>
      <w:vertAlign w:val="superscript"/>
    </w:rPr>
  </w:style>
  <w:style w:type="character" w:styleId="Strong">
    <w:name w:val="Strong"/>
    <w:basedOn w:val="DefaultParagraphFont"/>
    <w:uiPriority w:val="22"/>
    <w:qFormat/>
    <w:rsid w:val="008603B3"/>
    <w:rPr>
      <w:b/>
      <w:bCs/>
    </w:rPr>
  </w:style>
  <w:style w:type="character" w:customStyle="1" w:styleId="Heading3Char">
    <w:name w:val="Heading 3 Char"/>
    <w:basedOn w:val="DefaultParagraphFont"/>
    <w:link w:val="Heading3"/>
    <w:uiPriority w:val="9"/>
    <w:semiHidden/>
    <w:rsid w:val="005A0E42"/>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E10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97E83"/>
    <w:pPr>
      <w:spacing w:after="0" w:line="240" w:lineRule="auto"/>
    </w:pPr>
  </w:style>
</w:styles>
</file>

<file path=word/webSettings.xml><?xml version="1.0" encoding="utf-8"?>
<w:webSettings xmlns:r="http://schemas.openxmlformats.org/officeDocument/2006/relationships" xmlns:w="http://schemas.openxmlformats.org/wordprocessingml/2006/main">
  <w:divs>
    <w:div w:id="358973152">
      <w:bodyDiv w:val="1"/>
      <w:marLeft w:val="0"/>
      <w:marRight w:val="0"/>
      <w:marTop w:val="0"/>
      <w:marBottom w:val="0"/>
      <w:divBdr>
        <w:top w:val="none" w:sz="0" w:space="0" w:color="auto"/>
        <w:left w:val="none" w:sz="0" w:space="0" w:color="auto"/>
        <w:bottom w:val="none" w:sz="0" w:space="0" w:color="auto"/>
        <w:right w:val="none" w:sz="0" w:space="0" w:color="auto"/>
      </w:divBdr>
    </w:div>
    <w:div w:id="501160183">
      <w:bodyDiv w:val="1"/>
      <w:marLeft w:val="0"/>
      <w:marRight w:val="0"/>
      <w:marTop w:val="0"/>
      <w:marBottom w:val="0"/>
      <w:divBdr>
        <w:top w:val="none" w:sz="0" w:space="0" w:color="auto"/>
        <w:left w:val="none" w:sz="0" w:space="0" w:color="auto"/>
        <w:bottom w:val="none" w:sz="0" w:space="0" w:color="auto"/>
        <w:right w:val="none" w:sz="0" w:space="0" w:color="auto"/>
      </w:divBdr>
    </w:div>
    <w:div w:id="737477985">
      <w:bodyDiv w:val="1"/>
      <w:marLeft w:val="0"/>
      <w:marRight w:val="0"/>
      <w:marTop w:val="0"/>
      <w:marBottom w:val="0"/>
      <w:divBdr>
        <w:top w:val="none" w:sz="0" w:space="0" w:color="auto"/>
        <w:left w:val="none" w:sz="0" w:space="0" w:color="auto"/>
        <w:bottom w:val="none" w:sz="0" w:space="0" w:color="auto"/>
        <w:right w:val="none" w:sz="0" w:space="0" w:color="auto"/>
      </w:divBdr>
    </w:div>
    <w:div w:id="851528717">
      <w:bodyDiv w:val="1"/>
      <w:marLeft w:val="0"/>
      <w:marRight w:val="0"/>
      <w:marTop w:val="0"/>
      <w:marBottom w:val="0"/>
      <w:divBdr>
        <w:top w:val="none" w:sz="0" w:space="0" w:color="auto"/>
        <w:left w:val="none" w:sz="0" w:space="0" w:color="auto"/>
        <w:bottom w:val="none" w:sz="0" w:space="0" w:color="auto"/>
        <w:right w:val="none" w:sz="0" w:space="0" w:color="auto"/>
      </w:divBdr>
    </w:div>
    <w:div w:id="938101034">
      <w:bodyDiv w:val="1"/>
      <w:marLeft w:val="0"/>
      <w:marRight w:val="0"/>
      <w:marTop w:val="0"/>
      <w:marBottom w:val="0"/>
      <w:divBdr>
        <w:top w:val="none" w:sz="0" w:space="0" w:color="auto"/>
        <w:left w:val="none" w:sz="0" w:space="0" w:color="auto"/>
        <w:bottom w:val="none" w:sz="0" w:space="0" w:color="auto"/>
        <w:right w:val="none" w:sz="0" w:space="0" w:color="auto"/>
      </w:divBdr>
    </w:div>
    <w:div w:id="1139765313">
      <w:bodyDiv w:val="1"/>
      <w:marLeft w:val="0"/>
      <w:marRight w:val="0"/>
      <w:marTop w:val="0"/>
      <w:marBottom w:val="0"/>
      <w:divBdr>
        <w:top w:val="none" w:sz="0" w:space="0" w:color="auto"/>
        <w:left w:val="none" w:sz="0" w:space="0" w:color="auto"/>
        <w:bottom w:val="none" w:sz="0" w:space="0" w:color="auto"/>
        <w:right w:val="none" w:sz="0" w:space="0" w:color="auto"/>
      </w:divBdr>
      <w:divsChild>
        <w:div w:id="1047879815">
          <w:marLeft w:val="0"/>
          <w:marRight w:val="0"/>
          <w:marTop w:val="0"/>
          <w:marBottom w:val="0"/>
          <w:divBdr>
            <w:top w:val="none" w:sz="0" w:space="0" w:color="auto"/>
            <w:left w:val="none" w:sz="0" w:space="0" w:color="auto"/>
            <w:bottom w:val="none" w:sz="0" w:space="0" w:color="auto"/>
            <w:right w:val="none" w:sz="0" w:space="0" w:color="auto"/>
          </w:divBdr>
        </w:div>
      </w:divsChild>
    </w:div>
    <w:div w:id="1420640241">
      <w:bodyDiv w:val="1"/>
      <w:marLeft w:val="0"/>
      <w:marRight w:val="0"/>
      <w:marTop w:val="0"/>
      <w:marBottom w:val="0"/>
      <w:divBdr>
        <w:top w:val="none" w:sz="0" w:space="0" w:color="auto"/>
        <w:left w:val="none" w:sz="0" w:space="0" w:color="auto"/>
        <w:bottom w:val="none" w:sz="0" w:space="0" w:color="auto"/>
        <w:right w:val="none" w:sz="0" w:space="0" w:color="auto"/>
      </w:divBdr>
    </w:div>
    <w:div w:id="1619141841">
      <w:bodyDiv w:val="1"/>
      <w:marLeft w:val="0"/>
      <w:marRight w:val="0"/>
      <w:marTop w:val="0"/>
      <w:marBottom w:val="0"/>
      <w:divBdr>
        <w:top w:val="none" w:sz="0" w:space="0" w:color="auto"/>
        <w:left w:val="none" w:sz="0" w:space="0" w:color="auto"/>
        <w:bottom w:val="none" w:sz="0" w:space="0" w:color="auto"/>
        <w:right w:val="none" w:sz="0" w:space="0" w:color="auto"/>
      </w:divBdr>
    </w:div>
    <w:div w:id="1675259535">
      <w:bodyDiv w:val="1"/>
      <w:marLeft w:val="0"/>
      <w:marRight w:val="0"/>
      <w:marTop w:val="0"/>
      <w:marBottom w:val="0"/>
      <w:divBdr>
        <w:top w:val="none" w:sz="0" w:space="0" w:color="auto"/>
        <w:left w:val="none" w:sz="0" w:space="0" w:color="auto"/>
        <w:bottom w:val="none" w:sz="0" w:space="0" w:color="auto"/>
        <w:right w:val="none" w:sz="0" w:space="0" w:color="auto"/>
      </w:divBdr>
    </w:div>
    <w:div w:id="1713312164">
      <w:bodyDiv w:val="1"/>
      <w:marLeft w:val="0"/>
      <w:marRight w:val="0"/>
      <w:marTop w:val="0"/>
      <w:marBottom w:val="0"/>
      <w:divBdr>
        <w:top w:val="none" w:sz="0" w:space="0" w:color="auto"/>
        <w:left w:val="none" w:sz="0" w:space="0" w:color="auto"/>
        <w:bottom w:val="none" w:sz="0" w:space="0" w:color="auto"/>
        <w:right w:val="none" w:sz="0" w:space="0" w:color="auto"/>
      </w:divBdr>
      <w:divsChild>
        <w:div w:id="237523386">
          <w:marLeft w:val="0"/>
          <w:marRight w:val="0"/>
          <w:marTop w:val="0"/>
          <w:marBottom w:val="0"/>
          <w:divBdr>
            <w:top w:val="none" w:sz="0" w:space="0" w:color="auto"/>
            <w:left w:val="none" w:sz="0" w:space="0" w:color="auto"/>
            <w:bottom w:val="none" w:sz="0" w:space="0" w:color="auto"/>
            <w:right w:val="none" w:sz="0" w:space="0" w:color="auto"/>
          </w:divBdr>
          <w:divsChild>
            <w:div w:id="815341534">
              <w:marLeft w:val="0"/>
              <w:marRight w:val="0"/>
              <w:marTop w:val="0"/>
              <w:marBottom w:val="0"/>
              <w:divBdr>
                <w:top w:val="none" w:sz="0" w:space="0" w:color="auto"/>
                <w:left w:val="none" w:sz="0" w:space="0" w:color="auto"/>
                <w:bottom w:val="none" w:sz="0" w:space="0" w:color="auto"/>
                <w:right w:val="none" w:sz="0" w:space="0" w:color="auto"/>
              </w:divBdr>
              <w:divsChild>
                <w:div w:id="806050316">
                  <w:marLeft w:val="0"/>
                  <w:marRight w:val="0"/>
                  <w:marTop w:val="0"/>
                  <w:marBottom w:val="0"/>
                  <w:divBdr>
                    <w:top w:val="none" w:sz="0" w:space="0" w:color="auto"/>
                    <w:left w:val="none" w:sz="0" w:space="0" w:color="auto"/>
                    <w:bottom w:val="none" w:sz="0" w:space="0" w:color="auto"/>
                    <w:right w:val="none" w:sz="0" w:space="0" w:color="auto"/>
                  </w:divBdr>
                  <w:divsChild>
                    <w:div w:id="160997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547337">
      <w:bodyDiv w:val="1"/>
      <w:marLeft w:val="0"/>
      <w:marRight w:val="0"/>
      <w:marTop w:val="0"/>
      <w:marBottom w:val="0"/>
      <w:divBdr>
        <w:top w:val="none" w:sz="0" w:space="0" w:color="auto"/>
        <w:left w:val="none" w:sz="0" w:space="0" w:color="auto"/>
        <w:bottom w:val="none" w:sz="0" w:space="0" w:color="auto"/>
        <w:right w:val="none" w:sz="0" w:space="0" w:color="auto"/>
      </w:divBdr>
    </w:div>
    <w:div w:id="191905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8.8147563989016783E-2"/>
          <c:y val="3.6850921273031842E-2"/>
          <c:w val="0.8298801709878717"/>
          <c:h val="0.89937456310423458"/>
        </c:manualLayout>
      </c:layout>
      <c:lineChart>
        <c:grouping val="standard"/>
        <c:ser>
          <c:idx val="0"/>
          <c:order val="0"/>
          <c:marker>
            <c:symbol val="none"/>
          </c:marker>
          <c:cat>
            <c:strRef>
              <c:f>Sheet1!$D$4:$M$4</c:f>
              <c:strCache>
                <c:ptCount val="10"/>
                <c:pt idx="0">
                  <c:v>2008-9</c:v>
                </c:pt>
                <c:pt idx="1">
                  <c:v>2009-10</c:v>
                </c:pt>
                <c:pt idx="2">
                  <c:v>2010-11</c:v>
                </c:pt>
                <c:pt idx="3">
                  <c:v>2011-12</c:v>
                </c:pt>
                <c:pt idx="4">
                  <c:v>2012-13</c:v>
                </c:pt>
                <c:pt idx="5">
                  <c:v>2013-14</c:v>
                </c:pt>
                <c:pt idx="6">
                  <c:v>2014-15</c:v>
                </c:pt>
                <c:pt idx="7">
                  <c:v>2015-16</c:v>
                </c:pt>
                <c:pt idx="8">
                  <c:v>2016-17</c:v>
                </c:pt>
                <c:pt idx="9">
                  <c:v>2017-18</c:v>
                </c:pt>
              </c:strCache>
            </c:strRef>
          </c:cat>
          <c:val>
            <c:numRef>
              <c:f>Sheet1!$D$5:$M$5</c:f>
              <c:numCache>
                <c:formatCode>General</c:formatCode>
                <c:ptCount val="10"/>
                <c:pt idx="0">
                  <c:v>53430</c:v>
                </c:pt>
                <c:pt idx="1">
                  <c:v>40020</c:v>
                </c:pt>
                <c:pt idx="2">
                  <c:v>44160</c:v>
                </c:pt>
                <c:pt idx="3">
                  <c:v>50290</c:v>
                </c:pt>
                <c:pt idx="4">
                  <c:v>53770</c:v>
                </c:pt>
                <c:pt idx="5">
                  <c:v>52290</c:v>
                </c:pt>
                <c:pt idx="6">
                  <c:v>54430</c:v>
                </c:pt>
                <c:pt idx="7">
                  <c:v>57730</c:v>
                </c:pt>
                <c:pt idx="8">
                  <c:v>59110</c:v>
                </c:pt>
                <c:pt idx="9">
                  <c:v>56600</c:v>
                </c:pt>
              </c:numCache>
            </c:numRef>
          </c:val>
        </c:ser>
        <c:marker val="1"/>
        <c:axId val="85252352"/>
        <c:axId val="85327872"/>
      </c:lineChart>
      <c:catAx>
        <c:axId val="85252352"/>
        <c:scaling>
          <c:orientation val="minMax"/>
        </c:scaling>
        <c:axPos val="b"/>
        <c:numFmt formatCode="General" sourceLinked="0"/>
        <c:tickLblPos val="nextTo"/>
        <c:crossAx val="85327872"/>
        <c:crosses val="autoZero"/>
        <c:auto val="1"/>
        <c:lblAlgn val="ctr"/>
        <c:lblOffset val="100"/>
      </c:catAx>
      <c:valAx>
        <c:axId val="85327872"/>
        <c:scaling>
          <c:orientation val="minMax"/>
        </c:scaling>
        <c:axPos val="l"/>
        <c:majorGridlines/>
        <c:numFmt formatCode="General" sourceLinked="1"/>
        <c:tickLblPos val="nextTo"/>
        <c:crossAx val="85252352"/>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plotArea>
      <c:layout/>
      <c:lineChart>
        <c:grouping val="standard"/>
        <c:ser>
          <c:idx val="0"/>
          <c:order val="0"/>
          <c:marker>
            <c:symbol val="none"/>
          </c:marker>
          <c:cat>
            <c:strRef>
              <c:f>Sheet1!$D$4:$M$4</c:f>
              <c:strCache>
                <c:ptCount val="10"/>
                <c:pt idx="0">
                  <c:v>2008-9</c:v>
                </c:pt>
                <c:pt idx="1">
                  <c:v>2009-10</c:v>
                </c:pt>
                <c:pt idx="2">
                  <c:v>2010-11</c:v>
                </c:pt>
                <c:pt idx="3">
                  <c:v>2011-12</c:v>
                </c:pt>
                <c:pt idx="4">
                  <c:v>2012-13</c:v>
                </c:pt>
                <c:pt idx="5">
                  <c:v>2013-14</c:v>
                </c:pt>
                <c:pt idx="6">
                  <c:v>2014-15</c:v>
                </c:pt>
                <c:pt idx="7">
                  <c:v>2015-16</c:v>
                </c:pt>
                <c:pt idx="8">
                  <c:v>2016-17</c:v>
                </c:pt>
                <c:pt idx="9">
                  <c:v>2017-18</c:v>
                </c:pt>
              </c:strCache>
            </c:strRef>
          </c:cat>
          <c:val>
            <c:numRef>
              <c:f>Sheet1!$D$5:$M$5</c:f>
              <c:numCache>
                <c:formatCode>General</c:formatCode>
                <c:ptCount val="10"/>
                <c:pt idx="0">
                  <c:v>22</c:v>
                </c:pt>
                <c:pt idx="1">
                  <c:v>13</c:v>
                </c:pt>
                <c:pt idx="2">
                  <c:v>7</c:v>
                </c:pt>
                <c:pt idx="3">
                  <c:v>26</c:v>
                </c:pt>
                <c:pt idx="4">
                  <c:v>19</c:v>
                </c:pt>
                <c:pt idx="5">
                  <c:v>17</c:v>
                </c:pt>
                <c:pt idx="6">
                  <c:v>12</c:v>
                </c:pt>
                <c:pt idx="7">
                  <c:v>20</c:v>
                </c:pt>
                <c:pt idx="8">
                  <c:v>40</c:v>
                </c:pt>
                <c:pt idx="9">
                  <c:v>39</c:v>
                </c:pt>
              </c:numCache>
            </c:numRef>
          </c:val>
        </c:ser>
        <c:marker val="1"/>
        <c:axId val="85335040"/>
        <c:axId val="85349120"/>
      </c:lineChart>
      <c:catAx>
        <c:axId val="85335040"/>
        <c:scaling>
          <c:orientation val="minMax"/>
        </c:scaling>
        <c:axPos val="b"/>
        <c:numFmt formatCode="General" sourceLinked="0"/>
        <c:tickLblPos val="nextTo"/>
        <c:crossAx val="85349120"/>
        <c:crosses val="autoZero"/>
        <c:auto val="1"/>
        <c:lblAlgn val="ctr"/>
        <c:lblOffset val="100"/>
      </c:catAx>
      <c:valAx>
        <c:axId val="85349120"/>
        <c:scaling>
          <c:orientation val="minMax"/>
        </c:scaling>
        <c:axPos val="l"/>
        <c:majorGridlines/>
        <c:numFmt formatCode="General" sourceLinked="1"/>
        <c:tickLblPos val="nextTo"/>
        <c:crossAx val="85335040"/>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8.1140884370151017E-2"/>
          <c:y val="2.6031483033461818E-2"/>
          <c:w val="0.87779528475062862"/>
          <c:h val="0.88778532590774906"/>
        </c:manualLayout>
      </c:layout>
      <c:lineChart>
        <c:grouping val="standard"/>
        <c:ser>
          <c:idx val="0"/>
          <c:order val="0"/>
          <c:marker>
            <c:symbol val="none"/>
          </c:marker>
          <c:cat>
            <c:strRef>
              <c:f>Sheet4!$C$4:$C$12</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Sheet4!$D$4:$D$12</c:f>
              <c:numCache>
                <c:formatCode>General</c:formatCode>
                <c:ptCount val="9"/>
                <c:pt idx="0">
                  <c:v>1768</c:v>
                </c:pt>
                <c:pt idx="1">
                  <c:v>2181</c:v>
                </c:pt>
                <c:pt idx="2">
                  <c:v>2309</c:v>
                </c:pt>
                <c:pt idx="3">
                  <c:v>2414</c:v>
                </c:pt>
                <c:pt idx="4">
                  <c:v>2744</c:v>
                </c:pt>
                <c:pt idx="5">
                  <c:v>3569</c:v>
                </c:pt>
                <c:pt idx="6">
                  <c:v>4134</c:v>
                </c:pt>
                <c:pt idx="7">
                  <c:v>4751</c:v>
                </c:pt>
                <c:pt idx="8">
                  <c:v>4677</c:v>
                </c:pt>
              </c:numCache>
            </c:numRef>
          </c:val>
        </c:ser>
        <c:marker val="1"/>
        <c:axId val="85364736"/>
        <c:axId val="85366272"/>
      </c:lineChart>
      <c:catAx>
        <c:axId val="85364736"/>
        <c:scaling>
          <c:orientation val="minMax"/>
        </c:scaling>
        <c:axPos val="b"/>
        <c:tickLblPos val="nextTo"/>
        <c:crossAx val="85366272"/>
        <c:crosses val="autoZero"/>
        <c:auto val="1"/>
        <c:lblAlgn val="ctr"/>
        <c:lblOffset val="100"/>
      </c:catAx>
      <c:valAx>
        <c:axId val="85366272"/>
        <c:scaling>
          <c:orientation val="minMax"/>
        </c:scaling>
        <c:axPos val="l"/>
        <c:majorGridlines/>
        <c:numFmt formatCode="General" sourceLinked="1"/>
        <c:tickLblPos val="nextTo"/>
        <c:crossAx val="8536473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cat>
            <c:strRef>
              <c:f>Sheet1!$E$4:$K$4</c:f>
              <c:strCache>
                <c:ptCount val="7"/>
                <c:pt idx="0">
                  <c:v>2011-12</c:v>
                </c:pt>
                <c:pt idx="1">
                  <c:v>2012-13</c:v>
                </c:pt>
                <c:pt idx="2">
                  <c:v>2013-14</c:v>
                </c:pt>
                <c:pt idx="3">
                  <c:v>2014-15</c:v>
                </c:pt>
                <c:pt idx="4">
                  <c:v>2015-16</c:v>
                </c:pt>
                <c:pt idx="5">
                  <c:v>2016-17</c:v>
                </c:pt>
                <c:pt idx="6">
                  <c:v>2017-18</c:v>
                </c:pt>
              </c:strCache>
            </c:strRef>
          </c:cat>
          <c:val>
            <c:numRef>
              <c:f>Sheet1!$E$5:$K$5</c:f>
              <c:numCache>
                <c:formatCode>General</c:formatCode>
                <c:ptCount val="7"/>
                <c:pt idx="0">
                  <c:v>8.1</c:v>
                </c:pt>
                <c:pt idx="1">
                  <c:v>8.92</c:v>
                </c:pt>
                <c:pt idx="2">
                  <c:v>10.39</c:v>
                </c:pt>
                <c:pt idx="3">
                  <c:v>9.82</c:v>
                </c:pt>
                <c:pt idx="4">
                  <c:v>10.93</c:v>
                </c:pt>
                <c:pt idx="5">
                  <c:v>15.7</c:v>
                </c:pt>
                <c:pt idx="6">
                  <c:v>13.64</c:v>
                </c:pt>
              </c:numCache>
            </c:numRef>
          </c:val>
        </c:ser>
        <c:axId val="93823744"/>
        <c:axId val="93825280"/>
      </c:barChart>
      <c:catAx>
        <c:axId val="93823744"/>
        <c:scaling>
          <c:orientation val="minMax"/>
        </c:scaling>
        <c:axPos val="b"/>
        <c:numFmt formatCode="General" sourceLinked="0"/>
        <c:tickLblPos val="nextTo"/>
        <c:crossAx val="93825280"/>
        <c:crosses val="autoZero"/>
        <c:auto val="1"/>
        <c:lblAlgn val="ctr"/>
        <c:lblOffset val="100"/>
      </c:catAx>
      <c:valAx>
        <c:axId val="93825280"/>
        <c:scaling>
          <c:orientation val="minMax"/>
        </c:scaling>
        <c:axPos val="l"/>
        <c:majorGridlines/>
        <c:numFmt formatCode="General" sourceLinked="1"/>
        <c:tickLblPos val="nextTo"/>
        <c:crossAx val="9382374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BBCDB-ACD0-4185-B5F1-3D57E292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4571</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30565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maces</dc:creator>
  <cp:lastModifiedBy>manprof</cp:lastModifiedBy>
  <cp:revision>14</cp:revision>
  <cp:lastPrinted>2019-05-17T11:25:00Z</cp:lastPrinted>
  <dcterms:created xsi:type="dcterms:W3CDTF">2019-05-15T11:17:00Z</dcterms:created>
  <dcterms:modified xsi:type="dcterms:W3CDTF">2019-06-12T11:56:00Z</dcterms:modified>
</cp:coreProperties>
</file>