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BCF8" w14:textId="378D4D70" w:rsidR="00435793" w:rsidRDefault="00435793">
      <w:pPr>
        <w:rPr>
          <w:b/>
          <w:bCs/>
        </w:rPr>
      </w:pPr>
      <w:r w:rsidRPr="00435793">
        <w:rPr>
          <w:b/>
          <w:bCs/>
        </w:rPr>
        <w:t>Draft potential list of MMs for consideration</w:t>
      </w:r>
      <w:r>
        <w:rPr>
          <w:b/>
          <w:bCs/>
        </w:rPr>
        <w:t xml:space="preserve"> for all sessions up to end of week 2 sessions March 2023</w:t>
      </w:r>
    </w:p>
    <w:p w14:paraId="174ADFB4" w14:textId="6C86E024" w:rsidR="00553926" w:rsidRPr="0097085B" w:rsidRDefault="00553926">
      <w:pPr>
        <w:rPr>
          <w:b/>
          <w:bCs/>
        </w:rPr>
      </w:pPr>
      <w:r w:rsidRPr="0097085B">
        <w:rPr>
          <w:b/>
          <w:bCs/>
        </w:rPr>
        <w:t xml:space="preserve">List of Modifications from </w:t>
      </w:r>
      <w:r w:rsidR="004152AC">
        <w:rPr>
          <w:b/>
          <w:bCs/>
        </w:rPr>
        <w:t xml:space="preserve">Hearing </w:t>
      </w:r>
      <w:r w:rsidRPr="0097085B">
        <w:rPr>
          <w:b/>
          <w:bCs/>
        </w:rPr>
        <w:t>Sessions</w:t>
      </w:r>
      <w:r w:rsidR="004152AC">
        <w:rPr>
          <w:b/>
          <w:bCs/>
        </w:rPr>
        <w:t xml:space="preserve"> (also those accepted in our Matter Statements if not explicitly discussed on the day)</w:t>
      </w:r>
    </w:p>
    <w:tbl>
      <w:tblPr>
        <w:tblStyle w:val="TableGrid"/>
        <w:tblW w:w="17925" w:type="dxa"/>
        <w:tblLook w:val="04A0" w:firstRow="1" w:lastRow="0" w:firstColumn="1" w:lastColumn="0" w:noHBand="0" w:noVBand="1"/>
      </w:tblPr>
      <w:tblGrid>
        <w:gridCol w:w="1485"/>
        <w:gridCol w:w="829"/>
        <w:gridCol w:w="9532"/>
        <w:gridCol w:w="4380"/>
        <w:gridCol w:w="1699"/>
      </w:tblGrid>
      <w:tr w:rsidR="00023B36" w14:paraId="5BF45FC6" w14:textId="17B8416B" w:rsidTr="00023B36">
        <w:tc>
          <w:tcPr>
            <w:tcW w:w="1485" w:type="dxa"/>
          </w:tcPr>
          <w:p w14:paraId="6246B8AB" w14:textId="1F84FB5D" w:rsidR="00023B36" w:rsidRPr="004152AC" w:rsidRDefault="00023B36">
            <w:pPr>
              <w:rPr>
                <w:b/>
                <w:bCs/>
              </w:rPr>
            </w:pPr>
            <w:r w:rsidRPr="004152AC">
              <w:rPr>
                <w:b/>
                <w:bCs/>
              </w:rPr>
              <w:t xml:space="preserve">Matter </w:t>
            </w:r>
          </w:p>
        </w:tc>
        <w:tc>
          <w:tcPr>
            <w:tcW w:w="829" w:type="dxa"/>
          </w:tcPr>
          <w:p w14:paraId="70505740" w14:textId="1189CFED" w:rsidR="00023B36" w:rsidRPr="004152AC" w:rsidRDefault="00023B36">
            <w:pPr>
              <w:rPr>
                <w:b/>
                <w:bCs/>
              </w:rPr>
            </w:pPr>
            <w:r>
              <w:rPr>
                <w:b/>
                <w:bCs/>
              </w:rPr>
              <w:t xml:space="preserve">Ref. </w:t>
            </w:r>
          </w:p>
        </w:tc>
        <w:tc>
          <w:tcPr>
            <w:tcW w:w="9532" w:type="dxa"/>
          </w:tcPr>
          <w:p w14:paraId="4E27558E" w14:textId="58E8A6B5" w:rsidR="00023B36" w:rsidRPr="004152AC" w:rsidRDefault="00023B36">
            <w:pPr>
              <w:rPr>
                <w:b/>
                <w:bCs/>
              </w:rPr>
            </w:pPr>
            <w:r w:rsidRPr="004152AC">
              <w:rPr>
                <w:b/>
                <w:bCs/>
              </w:rPr>
              <w:t xml:space="preserve">Modification </w:t>
            </w:r>
          </w:p>
        </w:tc>
        <w:tc>
          <w:tcPr>
            <w:tcW w:w="4380" w:type="dxa"/>
          </w:tcPr>
          <w:p w14:paraId="560A15D5" w14:textId="6DF0C01E" w:rsidR="00023B36" w:rsidRPr="004152AC" w:rsidRDefault="00023B36">
            <w:pPr>
              <w:rPr>
                <w:b/>
                <w:bCs/>
              </w:rPr>
            </w:pPr>
            <w:r w:rsidRPr="004152AC">
              <w:rPr>
                <w:b/>
                <w:bCs/>
              </w:rPr>
              <w:t>Action</w:t>
            </w:r>
          </w:p>
        </w:tc>
        <w:tc>
          <w:tcPr>
            <w:tcW w:w="1699" w:type="dxa"/>
          </w:tcPr>
          <w:p w14:paraId="12B252E8" w14:textId="29DDEDAD" w:rsidR="00023B36" w:rsidRPr="004152AC" w:rsidRDefault="00023B36">
            <w:pPr>
              <w:rPr>
                <w:b/>
                <w:bCs/>
              </w:rPr>
            </w:pPr>
            <w:r w:rsidRPr="004152AC">
              <w:rPr>
                <w:b/>
                <w:bCs/>
              </w:rPr>
              <w:t>Progress / complete</w:t>
            </w:r>
          </w:p>
        </w:tc>
      </w:tr>
      <w:tr w:rsidR="00023B36" w14:paraId="70F3F0AE" w14:textId="5E234820" w:rsidTr="00023B36">
        <w:tc>
          <w:tcPr>
            <w:tcW w:w="1485" w:type="dxa"/>
          </w:tcPr>
          <w:p w14:paraId="490B0F23" w14:textId="03835348" w:rsidR="00023B36" w:rsidRDefault="00023B36">
            <w:r>
              <w:t>Matter 1</w:t>
            </w:r>
          </w:p>
        </w:tc>
        <w:tc>
          <w:tcPr>
            <w:tcW w:w="829" w:type="dxa"/>
          </w:tcPr>
          <w:p w14:paraId="339C6E71" w14:textId="76530586" w:rsidR="00023B36" w:rsidRDefault="00023B36">
            <w:r>
              <w:t>MD1</w:t>
            </w:r>
          </w:p>
        </w:tc>
        <w:tc>
          <w:tcPr>
            <w:tcW w:w="9532" w:type="dxa"/>
          </w:tcPr>
          <w:p w14:paraId="3ED0A640" w14:textId="553028DC" w:rsidR="00023B36" w:rsidRDefault="00023B36">
            <w:r>
              <w:t>Paragraph 1.07</w:t>
            </w:r>
          </w:p>
          <w:p w14:paraId="53BDF79A" w14:textId="15DAFCF6" w:rsidR="00023B36" w:rsidRPr="0097085B" w:rsidRDefault="00023B36">
            <w:pPr>
              <w:rPr>
                <w:u w:val="single"/>
              </w:rPr>
            </w:pPr>
            <w:r>
              <w:t xml:space="preserve">“The intention of this new Local Plan is to replace in one document the 2015 Local Plan. </w:t>
            </w:r>
            <w:r>
              <w:rPr>
                <w:u w:val="single"/>
              </w:rPr>
              <w:t xml:space="preserve">A list of superseded policies from this old Plan is set out in </w:t>
            </w:r>
            <w:proofErr w:type="gramStart"/>
            <w:r>
              <w:rPr>
                <w:u w:val="single"/>
              </w:rPr>
              <w:t>Appendix?</w:t>
            </w:r>
            <w:proofErr w:type="gramEnd"/>
            <w:r>
              <w:rPr>
                <w:u w:val="single"/>
              </w:rPr>
              <w:t xml:space="preserve"> However, the planning system…”</w:t>
            </w:r>
          </w:p>
          <w:p w14:paraId="79F3CE57" w14:textId="77777777" w:rsidR="00023B36" w:rsidRDefault="00023B36"/>
          <w:p w14:paraId="1BB357C4" w14:textId="77777777" w:rsidR="00023B36" w:rsidRDefault="00023B36">
            <w:r>
              <w:t xml:space="preserve">Add new </w:t>
            </w:r>
            <w:proofErr w:type="gramStart"/>
            <w:r>
              <w:t>Appendix ?</w:t>
            </w:r>
            <w:proofErr w:type="gramEnd"/>
            <w:r>
              <w:t xml:space="preserve">: </w:t>
            </w:r>
          </w:p>
          <w:p w14:paraId="474587F8" w14:textId="77777777" w:rsidR="00023B36" w:rsidRDefault="00023B36"/>
          <w:p w14:paraId="6E2C202E" w14:textId="72C92131" w:rsidR="00023B36" w:rsidRPr="00E653A8" w:rsidRDefault="00023B36">
            <w:pPr>
              <w:rPr>
                <w:u w:val="single"/>
              </w:rPr>
            </w:pPr>
            <w:proofErr w:type="gramStart"/>
            <w:r w:rsidRPr="00E653A8">
              <w:rPr>
                <w:u w:val="single"/>
              </w:rPr>
              <w:t>Appendix ?</w:t>
            </w:r>
            <w:proofErr w:type="gramEnd"/>
            <w:r w:rsidRPr="00E653A8">
              <w:rPr>
                <w:u w:val="single"/>
              </w:rPr>
              <w:t>: List of superseded policies</w:t>
            </w:r>
          </w:p>
          <w:p w14:paraId="58562476" w14:textId="77777777" w:rsidR="00023B36" w:rsidRPr="00E653A8" w:rsidRDefault="00023B36">
            <w:pPr>
              <w:rPr>
                <w:u w:val="single"/>
              </w:rPr>
            </w:pPr>
          </w:p>
          <w:p w14:paraId="5B72446A" w14:textId="44062639" w:rsidR="00023B36" w:rsidRPr="00E653A8" w:rsidRDefault="00023B36">
            <w:pPr>
              <w:rPr>
                <w:u w:val="single"/>
              </w:rPr>
            </w:pPr>
            <w:r w:rsidRPr="00E653A8">
              <w:rPr>
                <w:u w:val="single"/>
              </w:rPr>
              <w:t>The following policies, contained within the Stroud District Local Plan (2015), are now superseded by policies within the new adopted Local Plan (2024):</w:t>
            </w:r>
          </w:p>
          <w:p w14:paraId="20493662" w14:textId="3AF53EC3" w:rsidR="00023B36" w:rsidRPr="00E653A8" w:rsidRDefault="00023B36">
            <w:pPr>
              <w:rPr>
                <w:u w:val="single"/>
              </w:rPr>
            </w:pPr>
          </w:p>
          <w:p w14:paraId="6D758173" w14:textId="7FE2F13F" w:rsidR="00023B36" w:rsidRPr="00E653A8" w:rsidRDefault="00023B36">
            <w:pPr>
              <w:rPr>
                <w:u w:val="single"/>
              </w:rPr>
            </w:pPr>
            <w:r w:rsidRPr="00E653A8">
              <w:rPr>
                <w:u w:val="single"/>
              </w:rPr>
              <w:t>Core Policies: CP2, CP3, CP4, CP5, CP6, CP7, CP8, CP9, CP10, CP11, CP12, CP13, CP14, CP5</w:t>
            </w:r>
          </w:p>
          <w:p w14:paraId="7B30A60D" w14:textId="77777777" w:rsidR="00023B36" w:rsidRPr="00E653A8" w:rsidRDefault="00023B36">
            <w:pPr>
              <w:rPr>
                <w:u w:val="single"/>
              </w:rPr>
            </w:pPr>
          </w:p>
          <w:p w14:paraId="0D3BB189" w14:textId="121149C6" w:rsidR="00023B36" w:rsidRPr="00E653A8" w:rsidRDefault="00023B36">
            <w:pPr>
              <w:rPr>
                <w:u w:val="single"/>
              </w:rPr>
            </w:pPr>
            <w:r w:rsidRPr="00E653A8">
              <w:rPr>
                <w:u w:val="single"/>
              </w:rPr>
              <w:t>Delivery Policies: EI1, EI2, EI3, EI4, EI5, EI6, EI7, EI8, EI9, EI10, EI11, EI12, EI13, EI14, EI15, EI16, ES1, ES2, ES3, ES4, ES5, ES6, ES7, ES8, ES9, ES10, ES11, ES12, ES13, ES14, ES15, ES16, HC1, HC2, HC3, HC4, HC5, HC6, HC7, HC8</w:t>
            </w:r>
          </w:p>
          <w:p w14:paraId="68141A77" w14:textId="77777777" w:rsidR="00023B36" w:rsidRPr="00E653A8" w:rsidRDefault="00023B36">
            <w:pPr>
              <w:rPr>
                <w:u w:val="single"/>
              </w:rPr>
            </w:pPr>
          </w:p>
          <w:p w14:paraId="795193E3" w14:textId="06C4387C" w:rsidR="00023B36" w:rsidRDefault="00023B36">
            <w:r w:rsidRPr="00E653A8">
              <w:rPr>
                <w:u w:val="single"/>
              </w:rPr>
              <w:t>Allocation Policies: SA1, SA2, SA3, SA4, SA4a, SA5, SA5a</w:t>
            </w:r>
          </w:p>
          <w:p w14:paraId="4850943F" w14:textId="664828C9" w:rsidR="00023B36" w:rsidRDefault="00023B36"/>
        </w:tc>
        <w:tc>
          <w:tcPr>
            <w:tcW w:w="4380" w:type="dxa"/>
          </w:tcPr>
          <w:p w14:paraId="56540941" w14:textId="0CB4F014" w:rsidR="00023B36" w:rsidRDefault="00023B36">
            <w:r>
              <w:t>List all policies and site allocations in adopted Local Plan (2015) which are now superseded by the new Plan.</w:t>
            </w:r>
          </w:p>
        </w:tc>
        <w:tc>
          <w:tcPr>
            <w:tcW w:w="1699" w:type="dxa"/>
          </w:tcPr>
          <w:p w14:paraId="0A92D629" w14:textId="2E02080E" w:rsidR="00023B36" w:rsidRDefault="00023B36">
            <w:r>
              <w:t>Completed.</w:t>
            </w:r>
          </w:p>
        </w:tc>
      </w:tr>
      <w:tr w:rsidR="00023B36" w14:paraId="5937F2BF" w14:textId="77777777" w:rsidTr="00023B36">
        <w:tc>
          <w:tcPr>
            <w:tcW w:w="1485" w:type="dxa"/>
          </w:tcPr>
          <w:p w14:paraId="33B99D01" w14:textId="21BD5476" w:rsidR="00023B36" w:rsidRDefault="00023B36" w:rsidP="0093407E">
            <w:r>
              <w:t>Matter 1</w:t>
            </w:r>
          </w:p>
        </w:tc>
        <w:tc>
          <w:tcPr>
            <w:tcW w:w="829" w:type="dxa"/>
          </w:tcPr>
          <w:p w14:paraId="754327CD" w14:textId="0CF2DAA5" w:rsidR="00023B36" w:rsidRDefault="00023B36" w:rsidP="0093407E">
            <w:r>
              <w:t>MD2</w:t>
            </w:r>
          </w:p>
        </w:tc>
        <w:tc>
          <w:tcPr>
            <w:tcW w:w="9532" w:type="dxa"/>
          </w:tcPr>
          <w:p w14:paraId="72C904DB" w14:textId="1345BBD2" w:rsidR="00023B36" w:rsidRPr="00A1493A" w:rsidRDefault="00023B36" w:rsidP="0093407E">
            <w:r>
              <w:t>Add new supporting text and appendix.</w:t>
            </w:r>
          </w:p>
        </w:tc>
        <w:tc>
          <w:tcPr>
            <w:tcW w:w="4380" w:type="dxa"/>
          </w:tcPr>
          <w:p w14:paraId="24CC2911" w14:textId="409DAF2B" w:rsidR="00023B36" w:rsidRDefault="00023B36" w:rsidP="0093407E">
            <w:r>
              <w:rPr>
                <w:rFonts w:ascii="Calibri" w:eastAsia="Calibri" w:hAnsi="Calibri" w:cs="Times New Roman"/>
              </w:rPr>
              <w:t>Disaggregate the Local Plan housing supply (when finalised) by parish (or NDP area if different) to identify the housing target for NDPs. Include as an appendix to the Local Plan</w:t>
            </w:r>
          </w:p>
        </w:tc>
        <w:tc>
          <w:tcPr>
            <w:tcW w:w="1699" w:type="dxa"/>
          </w:tcPr>
          <w:p w14:paraId="69DCDDDA" w14:textId="5E72CF03" w:rsidR="00023B36" w:rsidRDefault="00023B36" w:rsidP="0093407E">
            <w:r>
              <w:rPr>
                <w:rFonts w:ascii="Calibri" w:eastAsia="Calibri" w:hAnsi="Calibri" w:cs="Times New Roman"/>
              </w:rPr>
              <w:t>SDC will provide once the final housing supply and distribution has been agreed.</w:t>
            </w:r>
          </w:p>
        </w:tc>
      </w:tr>
      <w:tr w:rsidR="00023B36" w14:paraId="1B411B08" w14:textId="3E2E90E7" w:rsidTr="00023B36">
        <w:tc>
          <w:tcPr>
            <w:tcW w:w="1485" w:type="dxa"/>
          </w:tcPr>
          <w:p w14:paraId="59653CE5" w14:textId="5F22FB7C" w:rsidR="00023B36" w:rsidRPr="007F78CA" w:rsidRDefault="00023B36">
            <w:r w:rsidRPr="007F78CA">
              <w:t>Matter 1</w:t>
            </w:r>
          </w:p>
        </w:tc>
        <w:tc>
          <w:tcPr>
            <w:tcW w:w="829" w:type="dxa"/>
          </w:tcPr>
          <w:p w14:paraId="325F3DBE" w14:textId="234726A2" w:rsidR="00023B36" w:rsidRPr="007F78CA" w:rsidRDefault="00023B36">
            <w:r w:rsidRPr="007F78CA">
              <w:t>MD3</w:t>
            </w:r>
          </w:p>
        </w:tc>
        <w:tc>
          <w:tcPr>
            <w:tcW w:w="9532" w:type="dxa"/>
          </w:tcPr>
          <w:p w14:paraId="1BDDF66F" w14:textId="0CCED2E1" w:rsidR="00023B36" w:rsidRPr="007F78CA" w:rsidRDefault="006F13FE">
            <w:r w:rsidRPr="007F78CA">
              <w:t xml:space="preserve">SDC to </w:t>
            </w:r>
            <w:r w:rsidR="007F78CA" w:rsidRPr="007F78CA">
              <w:t>provide</w:t>
            </w:r>
          </w:p>
        </w:tc>
        <w:tc>
          <w:tcPr>
            <w:tcW w:w="4380" w:type="dxa"/>
          </w:tcPr>
          <w:p w14:paraId="2D43C09D" w14:textId="40A6AC73" w:rsidR="00023B36" w:rsidRPr="007F78CA" w:rsidRDefault="00023B36">
            <w:r w:rsidRPr="007F78CA">
              <w:t>Identify which policies/allocations in the Plan are strategic and non-strategic.</w:t>
            </w:r>
          </w:p>
        </w:tc>
        <w:tc>
          <w:tcPr>
            <w:tcW w:w="1699" w:type="dxa"/>
          </w:tcPr>
          <w:p w14:paraId="1B79B5A0" w14:textId="6284FA2A" w:rsidR="00023B36" w:rsidRPr="007F78CA" w:rsidRDefault="007F78CA">
            <w:r w:rsidRPr="007F78CA">
              <w:t>Working on the format to submit</w:t>
            </w:r>
            <w:r w:rsidR="00E2740D">
              <w:t>/new paragraph</w:t>
            </w:r>
          </w:p>
        </w:tc>
      </w:tr>
      <w:tr w:rsidR="00023B36" w14:paraId="1BB8A6CB" w14:textId="27398E72" w:rsidTr="00023B36">
        <w:tc>
          <w:tcPr>
            <w:tcW w:w="1485" w:type="dxa"/>
          </w:tcPr>
          <w:p w14:paraId="2BB6CD23" w14:textId="25D4BD32" w:rsidR="00023B36" w:rsidRDefault="00023B36">
            <w:r>
              <w:t>Matter 4</w:t>
            </w:r>
          </w:p>
        </w:tc>
        <w:tc>
          <w:tcPr>
            <w:tcW w:w="829" w:type="dxa"/>
          </w:tcPr>
          <w:p w14:paraId="77B466EA" w14:textId="22687C9D" w:rsidR="00023B36" w:rsidRDefault="00023B36">
            <w:r>
              <w:t>MD4</w:t>
            </w:r>
          </w:p>
        </w:tc>
        <w:tc>
          <w:tcPr>
            <w:tcW w:w="9532" w:type="dxa"/>
          </w:tcPr>
          <w:p w14:paraId="02B6F7D1" w14:textId="0AD064B7" w:rsidR="00023B36" w:rsidRDefault="00023B36">
            <w:r>
              <w:t>Core Policy CP2</w:t>
            </w:r>
          </w:p>
          <w:p w14:paraId="74F573B9" w14:textId="77777777" w:rsidR="00023B36" w:rsidRDefault="00023B36">
            <w:r>
              <w:t xml:space="preserve">“Stroud District will accommodate at least 12,600 additional dwellings and at least </w:t>
            </w:r>
            <w:r w:rsidRPr="00A1493A">
              <w:rPr>
                <w:strike/>
              </w:rPr>
              <w:t>79</w:t>
            </w:r>
            <w:r w:rsidRPr="00A1493A">
              <w:t xml:space="preserve"> </w:t>
            </w:r>
            <w:r w:rsidRPr="00A1493A">
              <w:rPr>
                <w:u w:val="single"/>
              </w:rPr>
              <w:t>84</w:t>
            </w:r>
            <w:r w:rsidRPr="00A1493A">
              <w:t xml:space="preserve"> hectares</w:t>
            </w:r>
            <w:r>
              <w:t xml:space="preserve"> of additional employment land to meet the needs of the </w:t>
            </w:r>
            <w:proofErr w:type="gramStart"/>
            <w:r>
              <w:t>District</w:t>
            </w:r>
            <w:proofErr w:type="gramEnd"/>
            <w:r>
              <w:t xml:space="preserve"> for the period 2020-2040.”</w:t>
            </w:r>
          </w:p>
          <w:p w14:paraId="5AA03D9D" w14:textId="77777777" w:rsidR="00023B36" w:rsidRDefault="00023B36"/>
          <w:p w14:paraId="1EE87948" w14:textId="7067BE91" w:rsidR="00023B36" w:rsidRDefault="00023B36">
            <w:r w:rsidRPr="00A1493A">
              <w:t>Consequential changes to Table 4 and paragraph 2.6.3</w:t>
            </w:r>
          </w:p>
        </w:tc>
        <w:tc>
          <w:tcPr>
            <w:tcW w:w="4380" w:type="dxa"/>
          </w:tcPr>
          <w:p w14:paraId="57817029" w14:textId="7A60219A" w:rsidR="00023B36" w:rsidRDefault="00023B36">
            <w:r>
              <w:t xml:space="preserve">Identify a specific number for employment land requirement. Possibly “at least 84 hectares”. Speak with Roland (DLP) to confirm. Also need to consider consequential changes </w:t>
            </w:r>
            <w:r w:rsidRPr="00A1493A">
              <w:t>to Table 4 and paragraph 2.6.3</w:t>
            </w:r>
            <w:r>
              <w:t>.</w:t>
            </w:r>
          </w:p>
        </w:tc>
        <w:tc>
          <w:tcPr>
            <w:tcW w:w="1699" w:type="dxa"/>
          </w:tcPr>
          <w:p w14:paraId="661A84A7" w14:textId="50BDA7C7" w:rsidR="00023B36" w:rsidRDefault="00023B36">
            <w:r>
              <w:t>Completed.</w:t>
            </w:r>
          </w:p>
        </w:tc>
      </w:tr>
      <w:tr w:rsidR="00023B36" w14:paraId="61D3C848" w14:textId="77777777" w:rsidTr="00023B36">
        <w:tc>
          <w:tcPr>
            <w:tcW w:w="1485" w:type="dxa"/>
          </w:tcPr>
          <w:p w14:paraId="2FF1EC99" w14:textId="6E55D604" w:rsidR="00023B36" w:rsidRDefault="00023B36" w:rsidP="001E4DC4">
            <w:r>
              <w:t>Matter 2</w:t>
            </w:r>
          </w:p>
        </w:tc>
        <w:tc>
          <w:tcPr>
            <w:tcW w:w="829" w:type="dxa"/>
          </w:tcPr>
          <w:p w14:paraId="650E8043" w14:textId="45295C08" w:rsidR="00023B36" w:rsidRDefault="00023B36" w:rsidP="001E4DC4">
            <w:r>
              <w:t>MD5</w:t>
            </w:r>
          </w:p>
        </w:tc>
        <w:tc>
          <w:tcPr>
            <w:tcW w:w="9532" w:type="dxa"/>
          </w:tcPr>
          <w:p w14:paraId="08645637" w14:textId="5EDD262D" w:rsidR="00023B36" w:rsidRDefault="00023B36" w:rsidP="001E4DC4">
            <w:r>
              <w:t xml:space="preserve">Map 3. </w:t>
            </w:r>
            <w:r w:rsidRPr="0067038B">
              <w:rPr>
                <w:u w:val="single"/>
              </w:rPr>
              <w:t>Key Diagram</w:t>
            </w:r>
            <w:r>
              <w:rPr>
                <w:u w:val="single"/>
              </w:rPr>
              <w:t>:</w:t>
            </w:r>
            <w:r>
              <w:t xml:space="preserve"> The </w:t>
            </w:r>
            <w:r w:rsidRPr="0067038B">
              <w:rPr>
                <w:strike/>
              </w:rPr>
              <w:t>development</w:t>
            </w:r>
            <w:r>
              <w:rPr>
                <w:strike/>
              </w:rPr>
              <w:t xml:space="preserve"> </w:t>
            </w:r>
            <w:r>
              <w:t xml:space="preserve">spatial strategy </w:t>
            </w:r>
          </w:p>
          <w:p w14:paraId="6F0E751B" w14:textId="30FD81AB" w:rsidR="00023B36" w:rsidRPr="00A1493A" w:rsidRDefault="00023B36" w:rsidP="001E4DC4"/>
        </w:tc>
        <w:tc>
          <w:tcPr>
            <w:tcW w:w="4380" w:type="dxa"/>
          </w:tcPr>
          <w:p w14:paraId="18AF909C" w14:textId="792143C3" w:rsidR="00023B36" w:rsidRDefault="00023B36" w:rsidP="001E4DC4">
            <w:r>
              <w:t>Clarify that the map on page 24 is The Key Diagram, showing the Plan’s spatial strategy,</w:t>
            </w:r>
            <w:r w:rsidRPr="003E5E97">
              <w:t xml:space="preserve"> to reflect paragraph 23 of NPPF.</w:t>
            </w:r>
          </w:p>
        </w:tc>
        <w:tc>
          <w:tcPr>
            <w:tcW w:w="1699" w:type="dxa"/>
          </w:tcPr>
          <w:p w14:paraId="443935DA" w14:textId="549BD9C5" w:rsidR="00023B36" w:rsidRDefault="00023B36" w:rsidP="001E4DC4">
            <w:r>
              <w:t>Completed.</w:t>
            </w:r>
          </w:p>
        </w:tc>
      </w:tr>
      <w:tr w:rsidR="00023B36" w14:paraId="18FB31B0" w14:textId="77777777" w:rsidTr="00023B36">
        <w:tc>
          <w:tcPr>
            <w:tcW w:w="1485" w:type="dxa"/>
          </w:tcPr>
          <w:p w14:paraId="2B41C0F1" w14:textId="529BD813" w:rsidR="00023B36" w:rsidRDefault="00023B36" w:rsidP="001E4DC4">
            <w:r>
              <w:t>Matter 2</w:t>
            </w:r>
          </w:p>
        </w:tc>
        <w:tc>
          <w:tcPr>
            <w:tcW w:w="829" w:type="dxa"/>
          </w:tcPr>
          <w:p w14:paraId="651C2A83" w14:textId="2A2B2149" w:rsidR="00023B36" w:rsidRDefault="00023B36" w:rsidP="001E4DC4">
            <w:r>
              <w:t>MD6</w:t>
            </w:r>
          </w:p>
        </w:tc>
        <w:tc>
          <w:tcPr>
            <w:tcW w:w="9532" w:type="dxa"/>
          </w:tcPr>
          <w:p w14:paraId="4D023316" w14:textId="785B641A" w:rsidR="00023B36" w:rsidRDefault="00023B36" w:rsidP="001E4DC4">
            <w:r>
              <w:t>Consequential changes (114 in number) to all parts of the Local Plan where the following words are used:</w:t>
            </w:r>
          </w:p>
          <w:p w14:paraId="14939560" w14:textId="0D688A21" w:rsidR="00023B36" w:rsidRPr="00A1493A" w:rsidRDefault="00023B36" w:rsidP="001E4DC4">
            <w:r>
              <w:t xml:space="preserve">“The </w:t>
            </w:r>
            <w:r w:rsidRPr="003E5E97">
              <w:rPr>
                <w:strike/>
              </w:rPr>
              <w:t>development</w:t>
            </w:r>
            <w:r>
              <w:t xml:space="preserve"> </w:t>
            </w:r>
            <w:r w:rsidRPr="003E5E97">
              <w:rPr>
                <w:u w:val="single"/>
              </w:rPr>
              <w:t>spatial</w:t>
            </w:r>
            <w:r>
              <w:t xml:space="preserve"> strategy”</w:t>
            </w:r>
          </w:p>
        </w:tc>
        <w:tc>
          <w:tcPr>
            <w:tcW w:w="4380" w:type="dxa"/>
          </w:tcPr>
          <w:p w14:paraId="7CD643B6" w14:textId="0026EDEA" w:rsidR="00023B36" w:rsidRDefault="00023B36" w:rsidP="001E4DC4">
            <w:r>
              <w:t>Change all references of “development strategy” to “spatial strategy” to reflect paragraph 23 of NPPF.</w:t>
            </w:r>
          </w:p>
        </w:tc>
        <w:tc>
          <w:tcPr>
            <w:tcW w:w="1699" w:type="dxa"/>
          </w:tcPr>
          <w:p w14:paraId="226BB493" w14:textId="2A8656CD" w:rsidR="00023B36" w:rsidRDefault="00023B36" w:rsidP="001E4DC4">
            <w:r>
              <w:t>Completed.</w:t>
            </w:r>
          </w:p>
        </w:tc>
      </w:tr>
      <w:tr w:rsidR="00023B36" w14:paraId="274F6D12" w14:textId="225FE152" w:rsidTr="00023B36">
        <w:tc>
          <w:tcPr>
            <w:tcW w:w="1485" w:type="dxa"/>
          </w:tcPr>
          <w:p w14:paraId="15E381AE" w14:textId="6F37242A" w:rsidR="00023B36" w:rsidRDefault="00023B36" w:rsidP="001E4DC4">
            <w:r>
              <w:t>Matter 2</w:t>
            </w:r>
          </w:p>
        </w:tc>
        <w:tc>
          <w:tcPr>
            <w:tcW w:w="829" w:type="dxa"/>
          </w:tcPr>
          <w:p w14:paraId="4CDAB02B" w14:textId="3828606D" w:rsidR="00023B36" w:rsidRPr="00A1493A" w:rsidRDefault="00023B36" w:rsidP="001E4DC4">
            <w:r>
              <w:t>MD7</w:t>
            </w:r>
          </w:p>
        </w:tc>
        <w:tc>
          <w:tcPr>
            <w:tcW w:w="9532" w:type="dxa"/>
          </w:tcPr>
          <w:p w14:paraId="73541C7B" w14:textId="77777777" w:rsidR="00023B36" w:rsidRDefault="00023B36" w:rsidP="00A864EA">
            <w:pPr>
              <w:rPr>
                <w:b/>
                <w:bCs/>
                <w:sz w:val="28"/>
                <w:szCs w:val="28"/>
              </w:rPr>
            </w:pPr>
            <w:r>
              <w:rPr>
                <w:b/>
                <w:bCs/>
                <w:sz w:val="28"/>
                <w:szCs w:val="28"/>
              </w:rPr>
              <w:t xml:space="preserve">Core Policy 2 CP2 </w:t>
            </w:r>
          </w:p>
          <w:p w14:paraId="7CD5908B" w14:textId="77777777" w:rsidR="00023B36" w:rsidRPr="00592DD7" w:rsidRDefault="00023B36" w:rsidP="00A864EA">
            <w:pPr>
              <w:rPr>
                <w:b/>
                <w:bCs/>
                <w:sz w:val="28"/>
                <w:szCs w:val="28"/>
              </w:rPr>
            </w:pPr>
            <w:r w:rsidRPr="00A52F0C">
              <w:rPr>
                <w:b/>
                <w:bCs/>
                <w:strike/>
                <w:sz w:val="28"/>
                <w:szCs w:val="28"/>
              </w:rPr>
              <w:t>Strategic growth and development locations</w:t>
            </w:r>
            <w:r>
              <w:rPr>
                <w:b/>
                <w:bCs/>
                <w:sz w:val="28"/>
                <w:szCs w:val="28"/>
              </w:rPr>
              <w:t xml:space="preserve"> </w:t>
            </w:r>
            <w:proofErr w:type="gramStart"/>
            <w:r w:rsidRPr="00A52F0C">
              <w:rPr>
                <w:b/>
                <w:bCs/>
                <w:sz w:val="28"/>
                <w:szCs w:val="28"/>
                <w:u w:val="single"/>
              </w:rPr>
              <w:t>The</w:t>
            </w:r>
            <w:proofErr w:type="gramEnd"/>
            <w:r w:rsidRPr="00A52F0C">
              <w:rPr>
                <w:b/>
                <w:bCs/>
                <w:sz w:val="28"/>
                <w:szCs w:val="28"/>
                <w:u w:val="single"/>
              </w:rPr>
              <w:t xml:space="preserve"> spatial strategy and development locations</w:t>
            </w:r>
          </w:p>
          <w:p w14:paraId="28171A0F" w14:textId="77777777" w:rsidR="00023B36" w:rsidRPr="00A52F0C" w:rsidRDefault="00023B36" w:rsidP="00A864EA">
            <w:pPr>
              <w:rPr>
                <w:u w:val="single"/>
              </w:rPr>
            </w:pPr>
            <w:r w:rsidRPr="00A52F0C">
              <w:rPr>
                <w:u w:val="single"/>
              </w:rPr>
              <w:lastRenderedPageBreak/>
              <w:t xml:space="preserve">The strategy supports the development of inclusive, diverse communities, with housing and employment in close proximity and good access to wider services and facilities, to reduce our carbon footprint and to improve the </w:t>
            </w:r>
            <w:proofErr w:type="gramStart"/>
            <w:r w:rsidRPr="00A52F0C">
              <w:rPr>
                <w:u w:val="single"/>
              </w:rPr>
              <w:t>District’s</w:t>
            </w:r>
            <w:proofErr w:type="gramEnd"/>
            <w:r w:rsidRPr="00A52F0C">
              <w:rPr>
                <w:u w:val="single"/>
              </w:rPr>
              <w:t xml:space="preserve"> sustainability and self-containment. </w:t>
            </w:r>
          </w:p>
          <w:p w14:paraId="194F8B24" w14:textId="3FA4DB10" w:rsidR="00023B36" w:rsidRDefault="00023B36" w:rsidP="00A864EA">
            <w:r w:rsidRPr="006831E8">
              <w:t xml:space="preserve">Stroud District will accommodate at least 12,600 additional dwellings and at least </w:t>
            </w:r>
            <w:r w:rsidRPr="00A52F0C">
              <w:rPr>
                <w:strike/>
              </w:rPr>
              <w:t>79</w:t>
            </w:r>
            <w:r>
              <w:t xml:space="preserve"> </w:t>
            </w:r>
            <w:r w:rsidRPr="00A52F0C">
              <w:rPr>
                <w:u w:val="single"/>
              </w:rPr>
              <w:t>84</w:t>
            </w:r>
            <w:r w:rsidRPr="006831E8">
              <w:t xml:space="preserve"> hectares of additional employment land to meet the needs of the </w:t>
            </w:r>
            <w:proofErr w:type="gramStart"/>
            <w:r w:rsidRPr="006831E8">
              <w:t>District</w:t>
            </w:r>
            <w:proofErr w:type="gramEnd"/>
            <w:r w:rsidRPr="006831E8">
              <w:t xml:space="preserve"> for the period 2020-2040. </w:t>
            </w:r>
          </w:p>
          <w:p w14:paraId="3274D7A5" w14:textId="77777777" w:rsidR="00023B36" w:rsidRPr="006831E8" w:rsidRDefault="00023B36" w:rsidP="00A864EA"/>
          <w:p w14:paraId="1B99A7D1" w14:textId="77777777" w:rsidR="00023B36" w:rsidRPr="00A52F0C" w:rsidRDefault="00023B36" w:rsidP="00A864EA">
            <w:pPr>
              <w:rPr>
                <w:u w:val="single"/>
              </w:rPr>
            </w:pPr>
            <w:r w:rsidRPr="00A52F0C">
              <w:rPr>
                <w:u w:val="single"/>
              </w:rPr>
              <w:t xml:space="preserve">The strategy will concentrate housing growth at the main towns of Cam and Dursley, Stonehouse and Stroud, where there is best access to services, facilities, </w:t>
            </w:r>
            <w:proofErr w:type="gramStart"/>
            <w:r w:rsidRPr="00A52F0C">
              <w:rPr>
                <w:u w:val="single"/>
              </w:rPr>
              <w:t>jobs</w:t>
            </w:r>
            <w:proofErr w:type="gramEnd"/>
            <w:r w:rsidRPr="00A52F0C">
              <w:rPr>
                <w:u w:val="single"/>
              </w:rPr>
              <w:t xml:space="preserve"> and infrastructure, and will support the regeneration of the canal corridor through the Stroud valleys and at Berkeley/Sharpness. </w:t>
            </w:r>
          </w:p>
          <w:p w14:paraId="70C7B831" w14:textId="77777777" w:rsidR="00023B36" w:rsidRPr="00A52F0C" w:rsidRDefault="00023B36" w:rsidP="00A864EA">
            <w:pPr>
              <w:rPr>
                <w:u w:val="single"/>
              </w:rPr>
            </w:pPr>
            <w:r w:rsidRPr="00A52F0C">
              <w:rPr>
                <w:u w:val="single"/>
              </w:rPr>
              <w:t>Housing and employment growth will also be centred at two new settlements at Sharpness and at Wisloe within the Severn Vale (Rail /A38/M5 corridor), where there is the potential to create new sustainable communities along garden village principles. Further strategic employment growth will also be concentrated at accessible locations within the Rail/A38/M5 corridor.</w:t>
            </w:r>
          </w:p>
          <w:p w14:paraId="38F223A4" w14:textId="127FAD37" w:rsidR="00023B36" w:rsidRDefault="00023B36" w:rsidP="00A864EA">
            <w:pPr>
              <w:rPr>
                <w:u w:val="single"/>
              </w:rPr>
            </w:pPr>
            <w:proofErr w:type="gramStart"/>
            <w:r w:rsidRPr="00A52F0C">
              <w:rPr>
                <w:u w:val="single"/>
              </w:rPr>
              <w:t>In order to</w:t>
            </w:r>
            <w:proofErr w:type="gramEnd"/>
            <w:r w:rsidRPr="00A52F0C">
              <w:rPr>
                <w:u w:val="single"/>
              </w:rPr>
              <w:t xml:space="preserve"> meet wider development needs and to support and improve existing services and facilities at smaller towns and larger villages, modest levels of growth will be delivered at the local service centres of Berkeley, Minchinhampton, Nailsworth and Painswick. </w:t>
            </w:r>
          </w:p>
          <w:p w14:paraId="4724C775" w14:textId="77777777" w:rsidR="00023B36" w:rsidRPr="00A52F0C" w:rsidRDefault="00023B36" w:rsidP="00A864EA">
            <w:pPr>
              <w:rPr>
                <w:u w:val="single"/>
              </w:rPr>
            </w:pPr>
          </w:p>
          <w:p w14:paraId="3C4E1D86" w14:textId="6904C159" w:rsidR="00023B36" w:rsidRDefault="00023B36" w:rsidP="00A864EA">
            <w:pPr>
              <w:rPr>
                <w:u w:val="single"/>
              </w:rPr>
            </w:pPr>
            <w:r w:rsidRPr="00A52F0C">
              <w:rPr>
                <w:u w:val="single"/>
              </w:rPr>
              <w:t xml:space="preserve">Lesser levels of growth will be delivered at the villages of </w:t>
            </w:r>
            <w:proofErr w:type="spellStart"/>
            <w:r w:rsidRPr="00A52F0C">
              <w:rPr>
                <w:u w:val="single"/>
              </w:rPr>
              <w:t>Brimscombe</w:t>
            </w:r>
            <w:proofErr w:type="spellEnd"/>
            <w:r w:rsidRPr="00A52F0C">
              <w:rPr>
                <w:u w:val="single"/>
              </w:rPr>
              <w:t xml:space="preserve"> &amp; </w:t>
            </w:r>
            <w:proofErr w:type="spellStart"/>
            <w:r w:rsidRPr="00A52F0C">
              <w:rPr>
                <w:u w:val="single"/>
              </w:rPr>
              <w:t>Thrupp</w:t>
            </w:r>
            <w:proofErr w:type="spellEnd"/>
            <w:r w:rsidRPr="00A52F0C">
              <w:rPr>
                <w:u w:val="single"/>
              </w:rPr>
              <w:t xml:space="preserve">, </w:t>
            </w:r>
            <w:proofErr w:type="spellStart"/>
            <w:r w:rsidRPr="00A52F0C">
              <w:rPr>
                <w:u w:val="single"/>
              </w:rPr>
              <w:t>Eastington</w:t>
            </w:r>
            <w:proofErr w:type="spellEnd"/>
            <w:r w:rsidRPr="00A52F0C">
              <w:rPr>
                <w:u w:val="single"/>
              </w:rPr>
              <w:t xml:space="preserve">, Frampton-on-Severn, Kings Stanley, Kingswood, Leonard Stanley, North </w:t>
            </w:r>
            <w:proofErr w:type="spellStart"/>
            <w:r w:rsidRPr="00A52F0C">
              <w:rPr>
                <w:u w:val="single"/>
              </w:rPr>
              <w:t>Woodchester</w:t>
            </w:r>
            <w:proofErr w:type="spellEnd"/>
            <w:r w:rsidRPr="00A52F0C">
              <w:rPr>
                <w:u w:val="single"/>
              </w:rPr>
              <w:t xml:space="preserve"> and </w:t>
            </w:r>
            <w:proofErr w:type="spellStart"/>
            <w:r w:rsidRPr="00A52F0C">
              <w:rPr>
                <w:u w:val="single"/>
              </w:rPr>
              <w:t>Whitminster</w:t>
            </w:r>
            <w:proofErr w:type="spellEnd"/>
            <w:r w:rsidRPr="00A52F0C">
              <w:rPr>
                <w:u w:val="single"/>
              </w:rPr>
              <w:t>. These are villages that have a range of local facilities and already benefit from good transport links, or they have the potential to develop better transport links to strategic facilities at the nearby towns of Stroud and Wotton under-Edge, where growth potential is limited by environmental constraints.</w:t>
            </w:r>
          </w:p>
          <w:p w14:paraId="767A581C" w14:textId="77777777" w:rsidR="00023B36" w:rsidRPr="00A52F0C" w:rsidRDefault="00023B36" w:rsidP="00A864EA">
            <w:pPr>
              <w:rPr>
                <w:u w:val="single"/>
              </w:rPr>
            </w:pPr>
          </w:p>
          <w:p w14:paraId="1BCF7A72" w14:textId="4E930FC6" w:rsidR="00023B36" w:rsidRDefault="00023B36" w:rsidP="00A864EA">
            <w:pPr>
              <w:rPr>
                <w:u w:val="single"/>
              </w:rPr>
            </w:pPr>
            <w:r w:rsidRPr="00A52F0C">
              <w:rPr>
                <w:u w:val="single"/>
              </w:rPr>
              <w:t>The regeneration of previously used sites and further infill development to maximise the use of brownfield land will be supported at these and other settlements, within settlement development limits.</w:t>
            </w:r>
          </w:p>
          <w:p w14:paraId="7AD10474" w14:textId="77777777" w:rsidR="00023B36" w:rsidRPr="00A52F0C" w:rsidRDefault="00023B36" w:rsidP="00A864EA">
            <w:pPr>
              <w:rPr>
                <w:u w:val="single"/>
              </w:rPr>
            </w:pPr>
          </w:p>
          <w:p w14:paraId="019915F3" w14:textId="77777777" w:rsidR="00023B36" w:rsidRDefault="00023B36" w:rsidP="00A864EA">
            <w:r>
              <w:t>Strategic development sites to meet needs are allocated at the following locations:</w:t>
            </w:r>
          </w:p>
          <w:tbl>
            <w:tblPr>
              <w:tblStyle w:val="TableGrid"/>
              <w:tblW w:w="0" w:type="auto"/>
              <w:tblLook w:val="04A0" w:firstRow="1" w:lastRow="0" w:firstColumn="1" w:lastColumn="0" w:noHBand="0" w:noVBand="1"/>
            </w:tblPr>
            <w:tblGrid>
              <w:gridCol w:w="3005"/>
              <w:gridCol w:w="3005"/>
              <w:gridCol w:w="3006"/>
            </w:tblGrid>
            <w:tr w:rsidR="00023B36" w14:paraId="02E544B4" w14:textId="77777777" w:rsidTr="00043F7C">
              <w:tc>
                <w:tcPr>
                  <w:tcW w:w="3005" w:type="dxa"/>
                </w:tcPr>
                <w:p w14:paraId="68EBB709" w14:textId="77777777" w:rsidR="00023B36" w:rsidRPr="00631965" w:rsidRDefault="00023B36" w:rsidP="00A864EA">
                  <w:pPr>
                    <w:rPr>
                      <w:b/>
                      <w:bCs/>
                    </w:rPr>
                  </w:pPr>
                  <w:r w:rsidRPr="00631965">
                    <w:rPr>
                      <w:b/>
                      <w:bCs/>
                    </w:rPr>
                    <w:t>Location</w:t>
                  </w:r>
                </w:p>
              </w:tc>
              <w:tc>
                <w:tcPr>
                  <w:tcW w:w="3005" w:type="dxa"/>
                </w:tcPr>
                <w:p w14:paraId="35D9B11C" w14:textId="77777777" w:rsidR="00023B36" w:rsidRPr="00631965" w:rsidRDefault="00023B36" w:rsidP="00A864EA">
                  <w:pPr>
                    <w:jc w:val="right"/>
                    <w:rPr>
                      <w:b/>
                      <w:bCs/>
                    </w:rPr>
                  </w:pPr>
                  <w:r w:rsidRPr="00631965">
                    <w:rPr>
                      <w:b/>
                      <w:bCs/>
                    </w:rPr>
                    <w:t>Employment</w:t>
                  </w:r>
                </w:p>
              </w:tc>
              <w:tc>
                <w:tcPr>
                  <w:tcW w:w="3006" w:type="dxa"/>
                </w:tcPr>
                <w:p w14:paraId="7B6C4022" w14:textId="77777777" w:rsidR="00023B36" w:rsidRPr="00631965" w:rsidRDefault="00023B36" w:rsidP="00A864EA">
                  <w:pPr>
                    <w:jc w:val="right"/>
                    <w:rPr>
                      <w:b/>
                      <w:bCs/>
                    </w:rPr>
                  </w:pPr>
                  <w:r w:rsidRPr="00631965">
                    <w:rPr>
                      <w:b/>
                      <w:bCs/>
                    </w:rPr>
                    <w:t>Housing</w:t>
                  </w:r>
                </w:p>
              </w:tc>
            </w:tr>
            <w:tr w:rsidR="00023B36" w14:paraId="1A7EE48C" w14:textId="77777777" w:rsidTr="00043F7C">
              <w:tc>
                <w:tcPr>
                  <w:tcW w:w="3005" w:type="dxa"/>
                </w:tcPr>
                <w:p w14:paraId="308953AE" w14:textId="77777777" w:rsidR="00023B36" w:rsidRDefault="00023B36" w:rsidP="00A864EA">
                  <w:r>
                    <w:t xml:space="preserve">Cam </w:t>
                  </w:r>
                  <w:proofErr w:type="gramStart"/>
                  <w:r>
                    <w:t>North West</w:t>
                  </w:r>
                  <w:proofErr w:type="gramEnd"/>
                </w:p>
              </w:tc>
              <w:tc>
                <w:tcPr>
                  <w:tcW w:w="3005" w:type="dxa"/>
                </w:tcPr>
                <w:p w14:paraId="1F5C0D16" w14:textId="77777777" w:rsidR="00023B36" w:rsidRDefault="00023B36" w:rsidP="00A864EA">
                  <w:pPr>
                    <w:jc w:val="right"/>
                  </w:pPr>
                </w:p>
              </w:tc>
              <w:tc>
                <w:tcPr>
                  <w:tcW w:w="3006" w:type="dxa"/>
                </w:tcPr>
                <w:p w14:paraId="296ECB6D" w14:textId="77777777" w:rsidR="00023B36" w:rsidRDefault="00023B36" w:rsidP="00A864EA">
                  <w:pPr>
                    <w:jc w:val="right"/>
                  </w:pPr>
                  <w:r>
                    <w:t>900</w:t>
                  </w:r>
                </w:p>
              </w:tc>
            </w:tr>
            <w:tr w:rsidR="00023B36" w14:paraId="6EF4FB6D" w14:textId="77777777" w:rsidTr="00043F7C">
              <w:tc>
                <w:tcPr>
                  <w:tcW w:w="3005" w:type="dxa"/>
                </w:tcPr>
                <w:p w14:paraId="1112A16F" w14:textId="77777777" w:rsidR="00023B36" w:rsidRDefault="00023B36" w:rsidP="00A864EA">
                  <w:r>
                    <w:t xml:space="preserve">Cam </w:t>
                  </w:r>
                  <w:proofErr w:type="gramStart"/>
                  <w:r>
                    <w:t>North East</w:t>
                  </w:r>
                  <w:proofErr w:type="gramEnd"/>
                  <w:r>
                    <w:t xml:space="preserve"> Extension</w:t>
                  </w:r>
                </w:p>
              </w:tc>
              <w:tc>
                <w:tcPr>
                  <w:tcW w:w="3005" w:type="dxa"/>
                </w:tcPr>
                <w:p w14:paraId="12C7D93F" w14:textId="77777777" w:rsidR="00023B36" w:rsidRDefault="00023B36" w:rsidP="00A864EA">
                  <w:pPr>
                    <w:jc w:val="right"/>
                  </w:pPr>
                </w:p>
              </w:tc>
              <w:tc>
                <w:tcPr>
                  <w:tcW w:w="3006" w:type="dxa"/>
                </w:tcPr>
                <w:p w14:paraId="17E60906" w14:textId="77777777" w:rsidR="00023B36" w:rsidRDefault="00023B36" w:rsidP="00A864EA">
                  <w:pPr>
                    <w:jc w:val="right"/>
                  </w:pPr>
                  <w:r>
                    <w:t>180</w:t>
                  </w:r>
                </w:p>
              </w:tc>
            </w:tr>
            <w:tr w:rsidR="00023B36" w14:paraId="72A38F54" w14:textId="77777777" w:rsidTr="00043F7C">
              <w:tc>
                <w:tcPr>
                  <w:tcW w:w="3005" w:type="dxa"/>
                </w:tcPr>
                <w:p w14:paraId="475E730B" w14:textId="77777777" w:rsidR="00023B36" w:rsidRDefault="00023B36" w:rsidP="00A864EA">
                  <w:r>
                    <w:t>Hunts Grove Extension</w:t>
                  </w:r>
                </w:p>
              </w:tc>
              <w:tc>
                <w:tcPr>
                  <w:tcW w:w="3005" w:type="dxa"/>
                </w:tcPr>
                <w:p w14:paraId="0D703CF3" w14:textId="77777777" w:rsidR="00023B36" w:rsidRDefault="00023B36" w:rsidP="00A864EA">
                  <w:pPr>
                    <w:jc w:val="right"/>
                  </w:pPr>
                </w:p>
              </w:tc>
              <w:tc>
                <w:tcPr>
                  <w:tcW w:w="3006" w:type="dxa"/>
                </w:tcPr>
                <w:p w14:paraId="25DEE27D" w14:textId="77777777" w:rsidR="00023B36" w:rsidRDefault="00023B36" w:rsidP="00A864EA">
                  <w:pPr>
                    <w:jc w:val="right"/>
                  </w:pPr>
                  <w:r>
                    <w:t>1,350</w:t>
                  </w:r>
                </w:p>
              </w:tc>
            </w:tr>
            <w:tr w:rsidR="00023B36" w14:paraId="13D2BEC2" w14:textId="77777777" w:rsidTr="00043F7C">
              <w:tc>
                <w:tcPr>
                  <w:tcW w:w="3005" w:type="dxa"/>
                </w:tcPr>
                <w:p w14:paraId="07BE7305" w14:textId="77777777" w:rsidR="00023B36" w:rsidRDefault="00023B36" w:rsidP="00A864EA">
                  <w:r>
                    <w:t>Javelin Park</w:t>
                  </w:r>
                </w:p>
              </w:tc>
              <w:tc>
                <w:tcPr>
                  <w:tcW w:w="3005" w:type="dxa"/>
                </w:tcPr>
                <w:p w14:paraId="304F30B4" w14:textId="77777777" w:rsidR="00023B36" w:rsidRDefault="00023B36" w:rsidP="00A864EA">
                  <w:pPr>
                    <w:jc w:val="right"/>
                  </w:pPr>
                  <w:r>
                    <w:t>27 ha</w:t>
                  </w:r>
                </w:p>
              </w:tc>
              <w:tc>
                <w:tcPr>
                  <w:tcW w:w="3006" w:type="dxa"/>
                </w:tcPr>
                <w:p w14:paraId="690C3178" w14:textId="77777777" w:rsidR="00023B36" w:rsidRDefault="00023B36" w:rsidP="00A864EA">
                  <w:pPr>
                    <w:jc w:val="right"/>
                  </w:pPr>
                  <w:r>
                    <w:t>750</w:t>
                  </w:r>
                </w:p>
              </w:tc>
            </w:tr>
            <w:tr w:rsidR="00023B36" w14:paraId="458395CD" w14:textId="77777777" w:rsidTr="00043F7C">
              <w:tc>
                <w:tcPr>
                  <w:tcW w:w="3005" w:type="dxa"/>
                </w:tcPr>
                <w:p w14:paraId="16ECDD1D" w14:textId="77777777" w:rsidR="00023B36" w:rsidRDefault="00023B36" w:rsidP="00A864EA">
                  <w:r>
                    <w:t>Quedgeley East Extension</w:t>
                  </w:r>
                </w:p>
              </w:tc>
              <w:tc>
                <w:tcPr>
                  <w:tcW w:w="3005" w:type="dxa"/>
                </w:tcPr>
                <w:p w14:paraId="17EB63B3" w14:textId="77777777" w:rsidR="00023B36" w:rsidRDefault="00023B36" w:rsidP="00A864EA">
                  <w:pPr>
                    <w:jc w:val="right"/>
                  </w:pPr>
                  <w:r>
                    <w:t>5 ha</w:t>
                  </w:r>
                </w:p>
              </w:tc>
              <w:tc>
                <w:tcPr>
                  <w:tcW w:w="3006" w:type="dxa"/>
                </w:tcPr>
                <w:p w14:paraId="3C5C8C6A" w14:textId="77777777" w:rsidR="00023B36" w:rsidRDefault="00023B36" w:rsidP="00A864EA">
                  <w:pPr>
                    <w:jc w:val="right"/>
                  </w:pPr>
                </w:p>
              </w:tc>
            </w:tr>
            <w:tr w:rsidR="00023B36" w14:paraId="0152E3D1" w14:textId="77777777" w:rsidTr="00043F7C">
              <w:tc>
                <w:tcPr>
                  <w:tcW w:w="3005" w:type="dxa"/>
                </w:tcPr>
                <w:p w14:paraId="6416A466" w14:textId="77777777" w:rsidR="00023B36" w:rsidRDefault="00023B36" w:rsidP="00A864EA">
                  <w:r>
                    <w:t>West of Renishaw New Mills</w:t>
                  </w:r>
                </w:p>
              </w:tc>
              <w:tc>
                <w:tcPr>
                  <w:tcW w:w="3005" w:type="dxa"/>
                </w:tcPr>
                <w:p w14:paraId="53ADCF78" w14:textId="77777777" w:rsidR="00023B36" w:rsidRDefault="00023B36" w:rsidP="00A864EA">
                  <w:pPr>
                    <w:jc w:val="right"/>
                  </w:pPr>
                  <w:r>
                    <w:t>10 ha</w:t>
                  </w:r>
                </w:p>
              </w:tc>
              <w:tc>
                <w:tcPr>
                  <w:tcW w:w="3006" w:type="dxa"/>
                </w:tcPr>
                <w:p w14:paraId="4DFD1672" w14:textId="77777777" w:rsidR="00023B36" w:rsidRDefault="00023B36" w:rsidP="00A864EA">
                  <w:pPr>
                    <w:jc w:val="right"/>
                  </w:pPr>
                </w:p>
              </w:tc>
            </w:tr>
            <w:tr w:rsidR="00023B36" w14:paraId="31AAF37C" w14:textId="77777777" w:rsidTr="00043F7C">
              <w:tc>
                <w:tcPr>
                  <w:tcW w:w="3005" w:type="dxa"/>
                </w:tcPr>
                <w:p w14:paraId="63FA7894" w14:textId="77777777" w:rsidR="00023B36" w:rsidRDefault="00023B36" w:rsidP="00A864EA">
                  <w:r>
                    <w:t>Sharpness Docks</w:t>
                  </w:r>
                </w:p>
              </w:tc>
              <w:tc>
                <w:tcPr>
                  <w:tcW w:w="3005" w:type="dxa"/>
                </w:tcPr>
                <w:p w14:paraId="1AF0B3B0" w14:textId="77777777" w:rsidR="00023B36" w:rsidRDefault="00023B36" w:rsidP="00A864EA">
                  <w:pPr>
                    <w:jc w:val="right"/>
                  </w:pPr>
                  <w:r>
                    <w:t>7 ha</w:t>
                  </w:r>
                </w:p>
              </w:tc>
              <w:tc>
                <w:tcPr>
                  <w:tcW w:w="3006" w:type="dxa"/>
                </w:tcPr>
                <w:p w14:paraId="1F2A37CA" w14:textId="77777777" w:rsidR="00023B36" w:rsidRDefault="00023B36" w:rsidP="00A864EA">
                  <w:pPr>
                    <w:jc w:val="right"/>
                  </w:pPr>
                  <w:r>
                    <w:t>300</w:t>
                  </w:r>
                </w:p>
              </w:tc>
            </w:tr>
            <w:tr w:rsidR="00023B36" w14:paraId="5D5EB476" w14:textId="77777777" w:rsidTr="00043F7C">
              <w:tc>
                <w:tcPr>
                  <w:tcW w:w="3005" w:type="dxa"/>
                </w:tcPr>
                <w:p w14:paraId="064BB13F" w14:textId="77777777" w:rsidR="00023B36" w:rsidRDefault="00023B36" w:rsidP="00A864EA">
                  <w:r>
                    <w:t>Sharpness</w:t>
                  </w:r>
                </w:p>
              </w:tc>
              <w:tc>
                <w:tcPr>
                  <w:tcW w:w="3005" w:type="dxa"/>
                </w:tcPr>
                <w:p w14:paraId="20DB5F28" w14:textId="77777777" w:rsidR="00023B36" w:rsidRDefault="00023B36" w:rsidP="00A864EA">
                  <w:pPr>
                    <w:jc w:val="right"/>
                  </w:pPr>
                  <w:r>
                    <w:t>10 ha</w:t>
                  </w:r>
                </w:p>
              </w:tc>
              <w:tc>
                <w:tcPr>
                  <w:tcW w:w="3006" w:type="dxa"/>
                </w:tcPr>
                <w:p w14:paraId="1ADE4DE3" w14:textId="77777777" w:rsidR="00023B36" w:rsidRDefault="00023B36" w:rsidP="00A864EA">
                  <w:pPr>
                    <w:jc w:val="right"/>
                  </w:pPr>
                  <w:r>
                    <w:t>2,400 (5,000 by 2050)</w:t>
                  </w:r>
                </w:p>
              </w:tc>
            </w:tr>
            <w:tr w:rsidR="00023B36" w14:paraId="59FB44CB" w14:textId="77777777" w:rsidTr="00043F7C">
              <w:tc>
                <w:tcPr>
                  <w:tcW w:w="3005" w:type="dxa"/>
                </w:tcPr>
                <w:p w14:paraId="153DF926" w14:textId="77777777" w:rsidR="00023B36" w:rsidRDefault="00023B36" w:rsidP="00A864EA">
                  <w:r>
                    <w:t xml:space="preserve">Stonehouse </w:t>
                  </w:r>
                  <w:proofErr w:type="gramStart"/>
                  <w:r>
                    <w:t>North West</w:t>
                  </w:r>
                  <w:proofErr w:type="gramEnd"/>
                </w:p>
              </w:tc>
              <w:tc>
                <w:tcPr>
                  <w:tcW w:w="3005" w:type="dxa"/>
                </w:tcPr>
                <w:p w14:paraId="058BD7F6" w14:textId="77777777" w:rsidR="00023B36" w:rsidRDefault="00023B36" w:rsidP="00A864EA">
                  <w:pPr>
                    <w:jc w:val="right"/>
                  </w:pPr>
                  <w:r>
                    <w:t>5 ha</w:t>
                  </w:r>
                </w:p>
              </w:tc>
              <w:tc>
                <w:tcPr>
                  <w:tcW w:w="3006" w:type="dxa"/>
                </w:tcPr>
                <w:p w14:paraId="60E8B1D6" w14:textId="77777777" w:rsidR="00023B36" w:rsidRDefault="00023B36" w:rsidP="00A864EA">
                  <w:pPr>
                    <w:jc w:val="right"/>
                  </w:pPr>
                  <w:r>
                    <w:t>700</w:t>
                  </w:r>
                </w:p>
              </w:tc>
            </w:tr>
            <w:tr w:rsidR="00023B36" w14:paraId="37BA947D" w14:textId="77777777" w:rsidTr="00043F7C">
              <w:tc>
                <w:tcPr>
                  <w:tcW w:w="3005" w:type="dxa"/>
                </w:tcPr>
                <w:p w14:paraId="178B08B9" w14:textId="77777777" w:rsidR="00023B36" w:rsidRDefault="00023B36" w:rsidP="00A864EA">
                  <w:r>
                    <w:t>Stonehouse Eco Park M5 J13</w:t>
                  </w:r>
                </w:p>
              </w:tc>
              <w:tc>
                <w:tcPr>
                  <w:tcW w:w="3005" w:type="dxa"/>
                </w:tcPr>
                <w:p w14:paraId="4BDA670A" w14:textId="77777777" w:rsidR="00023B36" w:rsidRDefault="00023B36" w:rsidP="00A864EA">
                  <w:pPr>
                    <w:jc w:val="right"/>
                  </w:pPr>
                  <w:r>
                    <w:t>10 ha</w:t>
                  </w:r>
                </w:p>
              </w:tc>
              <w:tc>
                <w:tcPr>
                  <w:tcW w:w="3006" w:type="dxa"/>
                </w:tcPr>
                <w:p w14:paraId="14AFCF90" w14:textId="77777777" w:rsidR="00023B36" w:rsidRDefault="00023B36" w:rsidP="00A864EA">
                  <w:pPr>
                    <w:jc w:val="right"/>
                  </w:pPr>
                </w:p>
              </w:tc>
            </w:tr>
            <w:tr w:rsidR="00023B36" w14:paraId="36BA632E" w14:textId="77777777" w:rsidTr="00043F7C">
              <w:tc>
                <w:tcPr>
                  <w:tcW w:w="3005" w:type="dxa"/>
                </w:tcPr>
                <w:p w14:paraId="0BDF5CB3" w14:textId="77777777" w:rsidR="00023B36" w:rsidRDefault="00023B36" w:rsidP="00A864EA">
                  <w:r>
                    <w:t>Wisloe</w:t>
                  </w:r>
                </w:p>
              </w:tc>
              <w:tc>
                <w:tcPr>
                  <w:tcW w:w="3005" w:type="dxa"/>
                </w:tcPr>
                <w:p w14:paraId="12F3F7FA" w14:textId="77777777" w:rsidR="00023B36" w:rsidRDefault="00023B36" w:rsidP="00A864EA">
                  <w:pPr>
                    <w:jc w:val="right"/>
                  </w:pPr>
                  <w:r>
                    <w:t>5 ha</w:t>
                  </w:r>
                </w:p>
              </w:tc>
              <w:tc>
                <w:tcPr>
                  <w:tcW w:w="3006" w:type="dxa"/>
                </w:tcPr>
                <w:p w14:paraId="347CE718" w14:textId="77777777" w:rsidR="00023B36" w:rsidRDefault="00023B36" w:rsidP="00A864EA">
                  <w:pPr>
                    <w:jc w:val="right"/>
                  </w:pPr>
                  <w:r>
                    <w:t>1,500</w:t>
                  </w:r>
                </w:p>
              </w:tc>
            </w:tr>
          </w:tbl>
          <w:p w14:paraId="277B9EEC" w14:textId="77777777" w:rsidR="00023B36" w:rsidRDefault="00023B36" w:rsidP="00A864EA"/>
          <w:p w14:paraId="4C8C9AF3" w14:textId="77777777" w:rsidR="00023B36" w:rsidRDefault="00023B36" w:rsidP="00A864EA">
            <w:r w:rsidRPr="001C70B1">
              <w:t>Local development sites are allocated at the following settlements:</w:t>
            </w:r>
          </w:p>
          <w:tbl>
            <w:tblPr>
              <w:tblStyle w:val="TableGrid"/>
              <w:tblW w:w="0" w:type="auto"/>
              <w:tblLook w:val="04A0" w:firstRow="1" w:lastRow="0" w:firstColumn="1" w:lastColumn="0" w:noHBand="0" w:noVBand="1"/>
            </w:tblPr>
            <w:tblGrid>
              <w:gridCol w:w="4508"/>
              <w:gridCol w:w="4508"/>
            </w:tblGrid>
            <w:tr w:rsidR="00023B36" w14:paraId="00C13061" w14:textId="77777777" w:rsidTr="00043F7C">
              <w:tc>
                <w:tcPr>
                  <w:tcW w:w="4508" w:type="dxa"/>
                </w:tcPr>
                <w:p w14:paraId="4921469A" w14:textId="77777777" w:rsidR="00023B36" w:rsidRPr="00631965" w:rsidRDefault="00023B36" w:rsidP="00A864EA">
                  <w:pPr>
                    <w:rPr>
                      <w:b/>
                      <w:bCs/>
                    </w:rPr>
                  </w:pPr>
                  <w:r w:rsidRPr="00631965">
                    <w:rPr>
                      <w:b/>
                      <w:bCs/>
                    </w:rPr>
                    <w:t>Settlement</w:t>
                  </w:r>
                </w:p>
              </w:tc>
              <w:tc>
                <w:tcPr>
                  <w:tcW w:w="4508" w:type="dxa"/>
                </w:tcPr>
                <w:p w14:paraId="1C9E521F" w14:textId="77777777" w:rsidR="00023B36" w:rsidRPr="00631965" w:rsidRDefault="00023B36" w:rsidP="00A864EA">
                  <w:pPr>
                    <w:jc w:val="right"/>
                    <w:rPr>
                      <w:b/>
                      <w:bCs/>
                    </w:rPr>
                  </w:pPr>
                  <w:r w:rsidRPr="00631965">
                    <w:rPr>
                      <w:b/>
                      <w:bCs/>
                    </w:rPr>
                    <w:t>Housing (cumulative total)</w:t>
                  </w:r>
                </w:p>
              </w:tc>
            </w:tr>
            <w:tr w:rsidR="00023B36" w14:paraId="131EA1B3" w14:textId="77777777" w:rsidTr="00043F7C">
              <w:tc>
                <w:tcPr>
                  <w:tcW w:w="4508" w:type="dxa"/>
                </w:tcPr>
                <w:p w14:paraId="0E69A6CC" w14:textId="77777777" w:rsidR="00023B36" w:rsidRDefault="00023B36" w:rsidP="00A864EA">
                  <w:r>
                    <w:t>Berkeley</w:t>
                  </w:r>
                </w:p>
              </w:tc>
              <w:tc>
                <w:tcPr>
                  <w:tcW w:w="4508" w:type="dxa"/>
                </w:tcPr>
                <w:p w14:paraId="0630A460" w14:textId="77777777" w:rsidR="00023B36" w:rsidRDefault="00023B36" w:rsidP="00A864EA">
                  <w:pPr>
                    <w:jc w:val="right"/>
                  </w:pPr>
                  <w:r>
                    <w:t>170</w:t>
                  </w:r>
                </w:p>
              </w:tc>
            </w:tr>
            <w:tr w:rsidR="00023B36" w14:paraId="0E1CAFF1" w14:textId="77777777" w:rsidTr="00043F7C">
              <w:tc>
                <w:tcPr>
                  <w:tcW w:w="4508" w:type="dxa"/>
                </w:tcPr>
                <w:p w14:paraId="192E0F4F" w14:textId="77777777" w:rsidR="00023B36" w:rsidRDefault="00023B36" w:rsidP="00A864EA">
                  <w:proofErr w:type="spellStart"/>
                  <w:r>
                    <w:t>Brimscombe</w:t>
                  </w:r>
                  <w:proofErr w:type="spellEnd"/>
                  <w:r>
                    <w:t xml:space="preserve"> &amp; </w:t>
                  </w:r>
                  <w:proofErr w:type="spellStart"/>
                  <w:r>
                    <w:t>Thrupp</w:t>
                  </w:r>
                  <w:proofErr w:type="spellEnd"/>
                </w:p>
              </w:tc>
              <w:tc>
                <w:tcPr>
                  <w:tcW w:w="4508" w:type="dxa"/>
                </w:tcPr>
                <w:p w14:paraId="170DF92B" w14:textId="77777777" w:rsidR="00023B36" w:rsidRDefault="00023B36" w:rsidP="00A864EA">
                  <w:pPr>
                    <w:jc w:val="right"/>
                  </w:pPr>
                  <w:r>
                    <w:t>190</w:t>
                  </w:r>
                </w:p>
              </w:tc>
            </w:tr>
            <w:tr w:rsidR="00023B36" w14:paraId="2520194F" w14:textId="77777777" w:rsidTr="00043F7C">
              <w:tc>
                <w:tcPr>
                  <w:tcW w:w="4508" w:type="dxa"/>
                </w:tcPr>
                <w:p w14:paraId="7D966D0D" w14:textId="77777777" w:rsidR="00023B36" w:rsidRDefault="00023B36" w:rsidP="00A864EA">
                  <w:r>
                    <w:t>Dursley</w:t>
                  </w:r>
                </w:p>
              </w:tc>
              <w:tc>
                <w:tcPr>
                  <w:tcW w:w="4508" w:type="dxa"/>
                </w:tcPr>
                <w:p w14:paraId="0EE292A2" w14:textId="77777777" w:rsidR="00023B36" w:rsidRDefault="00023B36" w:rsidP="00A864EA">
                  <w:pPr>
                    <w:jc w:val="right"/>
                  </w:pPr>
                  <w:r>
                    <w:t>10</w:t>
                  </w:r>
                </w:p>
              </w:tc>
            </w:tr>
            <w:tr w:rsidR="00023B36" w14:paraId="2FE2AA04" w14:textId="77777777" w:rsidTr="00043F7C">
              <w:tc>
                <w:tcPr>
                  <w:tcW w:w="4508" w:type="dxa"/>
                </w:tcPr>
                <w:p w14:paraId="5B77B7FA" w14:textId="77777777" w:rsidR="00023B36" w:rsidRDefault="00023B36" w:rsidP="00A864EA">
                  <w:r>
                    <w:t>Frampton-on-Severn</w:t>
                  </w:r>
                </w:p>
              </w:tc>
              <w:tc>
                <w:tcPr>
                  <w:tcW w:w="4508" w:type="dxa"/>
                </w:tcPr>
                <w:p w14:paraId="1AD9C837" w14:textId="77777777" w:rsidR="00023B36" w:rsidRDefault="00023B36" w:rsidP="00A864EA">
                  <w:pPr>
                    <w:jc w:val="right"/>
                  </w:pPr>
                  <w:r>
                    <w:t>30</w:t>
                  </w:r>
                </w:p>
              </w:tc>
            </w:tr>
            <w:tr w:rsidR="00023B36" w14:paraId="1DCDDFB3" w14:textId="77777777" w:rsidTr="00043F7C">
              <w:tc>
                <w:tcPr>
                  <w:tcW w:w="4508" w:type="dxa"/>
                </w:tcPr>
                <w:p w14:paraId="25A13299" w14:textId="77777777" w:rsidR="00023B36" w:rsidRDefault="00023B36" w:rsidP="00A864EA">
                  <w:r>
                    <w:t>Hardwicke</w:t>
                  </w:r>
                </w:p>
              </w:tc>
              <w:tc>
                <w:tcPr>
                  <w:tcW w:w="4508" w:type="dxa"/>
                </w:tcPr>
                <w:p w14:paraId="341ED493" w14:textId="77777777" w:rsidR="00023B36" w:rsidRDefault="00023B36" w:rsidP="00A864EA">
                  <w:pPr>
                    <w:jc w:val="right"/>
                  </w:pPr>
                  <w:r>
                    <w:t>10</w:t>
                  </w:r>
                </w:p>
              </w:tc>
            </w:tr>
            <w:tr w:rsidR="00023B36" w14:paraId="2C55F6E2" w14:textId="77777777" w:rsidTr="00043F7C">
              <w:tc>
                <w:tcPr>
                  <w:tcW w:w="4508" w:type="dxa"/>
                </w:tcPr>
                <w:p w14:paraId="7E0B96C3" w14:textId="77777777" w:rsidR="00023B36" w:rsidRDefault="00023B36" w:rsidP="00A864EA">
                  <w:r>
                    <w:t>Kingswood</w:t>
                  </w:r>
                </w:p>
              </w:tc>
              <w:tc>
                <w:tcPr>
                  <w:tcW w:w="4508" w:type="dxa"/>
                </w:tcPr>
                <w:p w14:paraId="1DA3B4A6" w14:textId="77777777" w:rsidR="00023B36" w:rsidRDefault="00023B36" w:rsidP="00A864EA">
                  <w:pPr>
                    <w:jc w:val="right"/>
                  </w:pPr>
                  <w:r>
                    <w:t>50</w:t>
                  </w:r>
                </w:p>
              </w:tc>
            </w:tr>
            <w:tr w:rsidR="00023B36" w14:paraId="4FB39026" w14:textId="77777777" w:rsidTr="00043F7C">
              <w:tc>
                <w:tcPr>
                  <w:tcW w:w="4508" w:type="dxa"/>
                </w:tcPr>
                <w:p w14:paraId="78ED06E0" w14:textId="77777777" w:rsidR="00023B36" w:rsidRDefault="00023B36" w:rsidP="00A864EA">
                  <w:r>
                    <w:t>Leonard Stanley</w:t>
                  </w:r>
                </w:p>
              </w:tc>
              <w:tc>
                <w:tcPr>
                  <w:tcW w:w="4508" w:type="dxa"/>
                </w:tcPr>
                <w:p w14:paraId="382DCA38" w14:textId="77777777" w:rsidR="00023B36" w:rsidRDefault="00023B36" w:rsidP="00A864EA">
                  <w:pPr>
                    <w:jc w:val="right"/>
                  </w:pPr>
                  <w:r>
                    <w:t>40</w:t>
                  </w:r>
                </w:p>
              </w:tc>
            </w:tr>
            <w:tr w:rsidR="00023B36" w14:paraId="32C60921" w14:textId="77777777" w:rsidTr="00043F7C">
              <w:tc>
                <w:tcPr>
                  <w:tcW w:w="4508" w:type="dxa"/>
                </w:tcPr>
                <w:p w14:paraId="36ADD86C" w14:textId="77777777" w:rsidR="00023B36" w:rsidRDefault="00023B36" w:rsidP="00A864EA">
                  <w:r>
                    <w:t>Minchinhampton</w:t>
                  </w:r>
                </w:p>
              </w:tc>
              <w:tc>
                <w:tcPr>
                  <w:tcW w:w="4508" w:type="dxa"/>
                </w:tcPr>
                <w:p w14:paraId="4654802D" w14:textId="77777777" w:rsidR="00023B36" w:rsidRDefault="00023B36" w:rsidP="00A864EA">
                  <w:pPr>
                    <w:jc w:val="right"/>
                  </w:pPr>
                  <w:r>
                    <w:t>80</w:t>
                  </w:r>
                </w:p>
              </w:tc>
            </w:tr>
            <w:tr w:rsidR="00023B36" w14:paraId="2F963BC8" w14:textId="77777777" w:rsidTr="00043F7C">
              <w:tc>
                <w:tcPr>
                  <w:tcW w:w="4508" w:type="dxa"/>
                </w:tcPr>
                <w:p w14:paraId="7258F51A" w14:textId="77777777" w:rsidR="00023B36" w:rsidRDefault="00023B36" w:rsidP="00A864EA">
                  <w:r>
                    <w:lastRenderedPageBreak/>
                    <w:t>Nailsworth</w:t>
                  </w:r>
                </w:p>
              </w:tc>
              <w:tc>
                <w:tcPr>
                  <w:tcW w:w="4508" w:type="dxa"/>
                </w:tcPr>
                <w:p w14:paraId="59BFD689" w14:textId="77777777" w:rsidR="00023B36" w:rsidRDefault="00023B36" w:rsidP="00A864EA">
                  <w:pPr>
                    <w:jc w:val="right"/>
                  </w:pPr>
                  <w:r>
                    <w:t>90</w:t>
                  </w:r>
                </w:p>
              </w:tc>
            </w:tr>
            <w:tr w:rsidR="00023B36" w14:paraId="427785E3" w14:textId="77777777" w:rsidTr="00043F7C">
              <w:tc>
                <w:tcPr>
                  <w:tcW w:w="4508" w:type="dxa"/>
                </w:tcPr>
                <w:p w14:paraId="318044B8" w14:textId="77777777" w:rsidR="00023B36" w:rsidRDefault="00023B36" w:rsidP="00A864EA">
                  <w:r>
                    <w:t>Newtown &amp; Sharpness</w:t>
                  </w:r>
                </w:p>
              </w:tc>
              <w:tc>
                <w:tcPr>
                  <w:tcW w:w="4508" w:type="dxa"/>
                </w:tcPr>
                <w:p w14:paraId="20D91140" w14:textId="77777777" w:rsidR="00023B36" w:rsidRDefault="00023B36" w:rsidP="00A864EA">
                  <w:pPr>
                    <w:jc w:val="right"/>
                  </w:pPr>
                  <w:r>
                    <w:t>70</w:t>
                  </w:r>
                </w:p>
              </w:tc>
            </w:tr>
            <w:tr w:rsidR="00023B36" w14:paraId="4DB118B5" w14:textId="77777777" w:rsidTr="00043F7C">
              <w:tc>
                <w:tcPr>
                  <w:tcW w:w="4508" w:type="dxa"/>
                </w:tcPr>
                <w:p w14:paraId="7E5833CC" w14:textId="77777777" w:rsidR="00023B36" w:rsidRDefault="00023B36" w:rsidP="00A864EA">
                  <w:r>
                    <w:t>Painswick</w:t>
                  </w:r>
                </w:p>
              </w:tc>
              <w:tc>
                <w:tcPr>
                  <w:tcW w:w="4508" w:type="dxa"/>
                </w:tcPr>
                <w:p w14:paraId="18C80D40" w14:textId="77777777" w:rsidR="00023B36" w:rsidRDefault="00023B36" w:rsidP="00A864EA">
                  <w:pPr>
                    <w:jc w:val="right"/>
                  </w:pPr>
                  <w:r>
                    <w:t>20</w:t>
                  </w:r>
                </w:p>
              </w:tc>
            </w:tr>
            <w:tr w:rsidR="00023B36" w14:paraId="0B515703" w14:textId="77777777" w:rsidTr="00043F7C">
              <w:tc>
                <w:tcPr>
                  <w:tcW w:w="4508" w:type="dxa"/>
                </w:tcPr>
                <w:p w14:paraId="1E0DA409" w14:textId="77777777" w:rsidR="00023B36" w:rsidRDefault="00023B36" w:rsidP="00A864EA">
                  <w:r>
                    <w:t>Stonehouse</w:t>
                  </w:r>
                </w:p>
              </w:tc>
              <w:tc>
                <w:tcPr>
                  <w:tcW w:w="4508" w:type="dxa"/>
                </w:tcPr>
                <w:p w14:paraId="0C5A9D4D" w14:textId="77777777" w:rsidR="00023B36" w:rsidRDefault="00023B36" w:rsidP="00A864EA">
                  <w:pPr>
                    <w:jc w:val="right"/>
                  </w:pPr>
                  <w:r>
                    <w:t>10</w:t>
                  </w:r>
                </w:p>
              </w:tc>
            </w:tr>
            <w:tr w:rsidR="00023B36" w14:paraId="5B77B0A8" w14:textId="77777777" w:rsidTr="00043F7C">
              <w:tc>
                <w:tcPr>
                  <w:tcW w:w="4508" w:type="dxa"/>
                </w:tcPr>
                <w:p w14:paraId="4A83BEDE" w14:textId="77777777" w:rsidR="00023B36" w:rsidRDefault="00023B36" w:rsidP="00A864EA">
                  <w:r>
                    <w:t>Stroud</w:t>
                  </w:r>
                </w:p>
              </w:tc>
              <w:tc>
                <w:tcPr>
                  <w:tcW w:w="4508" w:type="dxa"/>
                </w:tcPr>
                <w:p w14:paraId="3B3E2E01" w14:textId="77777777" w:rsidR="00023B36" w:rsidRDefault="00023B36" w:rsidP="00A864EA">
                  <w:pPr>
                    <w:jc w:val="right"/>
                  </w:pPr>
                  <w:r>
                    <w:t>165</w:t>
                  </w:r>
                </w:p>
              </w:tc>
            </w:tr>
            <w:tr w:rsidR="00023B36" w14:paraId="4EA93B9C" w14:textId="77777777" w:rsidTr="00043F7C">
              <w:tc>
                <w:tcPr>
                  <w:tcW w:w="4508" w:type="dxa"/>
                </w:tcPr>
                <w:p w14:paraId="19C10423" w14:textId="77777777" w:rsidR="00023B36" w:rsidRDefault="00023B36" w:rsidP="00A864EA">
                  <w:proofErr w:type="spellStart"/>
                  <w:r>
                    <w:t>Whitminster</w:t>
                  </w:r>
                  <w:proofErr w:type="spellEnd"/>
                </w:p>
              </w:tc>
              <w:tc>
                <w:tcPr>
                  <w:tcW w:w="4508" w:type="dxa"/>
                </w:tcPr>
                <w:p w14:paraId="1CC863CC" w14:textId="77777777" w:rsidR="00023B36" w:rsidRDefault="00023B36" w:rsidP="00A864EA">
                  <w:pPr>
                    <w:jc w:val="right"/>
                  </w:pPr>
                  <w:r>
                    <w:t>50</w:t>
                  </w:r>
                </w:p>
              </w:tc>
            </w:tr>
          </w:tbl>
          <w:p w14:paraId="4D60B9D8" w14:textId="77777777" w:rsidR="00023B36" w:rsidRDefault="00023B36" w:rsidP="00A864EA"/>
          <w:p w14:paraId="12C67C12" w14:textId="77777777" w:rsidR="00023B36" w:rsidRPr="00592DD7" w:rsidRDefault="00023B36" w:rsidP="00A864EA">
            <w:r w:rsidRPr="00592DD7">
              <w:t xml:space="preserve">In addition to allocated sites, development will take place in accordance with the Settlement Hierarchy set out in this Plan (Core Policy CP3). </w:t>
            </w:r>
          </w:p>
          <w:p w14:paraId="639287E4" w14:textId="77777777" w:rsidR="00023B36" w:rsidRPr="00592DD7" w:rsidRDefault="00023B36" w:rsidP="00A864EA">
            <w:r w:rsidRPr="00592DD7">
              <w:t xml:space="preserve">Housing development will take place within settlement development limits, B class employment development will take place at designated employment areas and retail development will take place in accordance with the Retail Hierarchy (Core Policy CP12). </w:t>
            </w:r>
          </w:p>
          <w:p w14:paraId="07742F5E" w14:textId="77777777" w:rsidR="00023B36" w:rsidRPr="006831E8" w:rsidRDefault="00023B36" w:rsidP="00A864EA">
            <w:r w:rsidRPr="006831E8">
              <w:t xml:space="preserve">Limited development will take place outside of these designated areas and in accordance with other policies of the Plan. </w:t>
            </w:r>
          </w:p>
          <w:p w14:paraId="0F49CE17" w14:textId="77777777" w:rsidR="00023B36" w:rsidRPr="00A52F0C" w:rsidRDefault="00023B36" w:rsidP="00A864EA">
            <w:pPr>
              <w:rPr>
                <w:u w:val="single"/>
              </w:rPr>
            </w:pPr>
            <w:r w:rsidRPr="00A52F0C">
              <w:rPr>
                <w:u w:val="single"/>
              </w:rPr>
              <w:t>Within the Cotswolds AONB, priority will be given to the conservation and enhancement of the natural and scenic beauty of the landscape. But to support the social wellbeing of AONB communities, the strategy supports limited housing development to meet needs arising from within the AONB.</w:t>
            </w:r>
          </w:p>
          <w:p w14:paraId="1D7410E3" w14:textId="77777777" w:rsidR="00023B36" w:rsidRDefault="00023B36" w:rsidP="00A864EA">
            <w:r w:rsidRPr="00631965">
              <w:t xml:space="preserve">Stroud District will </w:t>
            </w:r>
            <w:proofErr w:type="gramStart"/>
            <w:r w:rsidRPr="00631965">
              <w:t>make a contribution</w:t>
            </w:r>
            <w:proofErr w:type="gramEnd"/>
            <w:r w:rsidRPr="00631965">
              <w:t xml:space="preserve"> to meeting the unmet housing needs of Gloucester City for the Plan period by providing for growth at the following location, subject to it being required to meet needs and provided locating growth at this location is consistent with the approved strategy for the Joint Core Strategy Review:</w:t>
            </w:r>
          </w:p>
          <w:tbl>
            <w:tblPr>
              <w:tblStyle w:val="TableGrid"/>
              <w:tblW w:w="0" w:type="auto"/>
              <w:tblLook w:val="04A0" w:firstRow="1" w:lastRow="0" w:firstColumn="1" w:lastColumn="0" w:noHBand="0" w:noVBand="1"/>
            </w:tblPr>
            <w:tblGrid>
              <w:gridCol w:w="4508"/>
              <w:gridCol w:w="4508"/>
            </w:tblGrid>
            <w:tr w:rsidR="00023B36" w14:paraId="318297BD" w14:textId="77777777" w:rsidTr="00043F7C">
              <w:tc>
                <w:tcPr>
                  <w:tcW w:w="4508" w:type="dxa"/>
                </w:tcPr>
                <w:p w14:paraId="08B8A7B7" w14:textId="77777777" w:rsidR="00023B36" w:rsidRPr="00631965" w:rsidRDefault="00023B36" w:rsidP="00A864EA">
                  <w:pPr>
                    <w:rPr>
                      <w:b/>
                      <w:bCs/>
                    </w:rPr>
                  </w:pPr>
                  <w:r w:rsidRPr="00631965">
                    <w:rPr>
                      <w:b/>
                      <w:bCs/>
                    </w:rPr>
                    <w:t>Location</w:t>
                  </w:r>
                </w:p>
              </w:tc>
              <w:tc>
                <w:tcPr>
                  <w:tcW w:w="4508" w:type="dxa"/>
                </w:tcPr>
                <w:p w14:paraId="2F06C364" w14:textId="77777777" w:rsidR="00023B36" w:rsidRPr="00631965" w:rsidRDefault="00023B36" w:rsidP="00A864EA">
                  <w:pPr>
                    <w:jc w:val="right"/>
                    <w:rPr>
                      <w:b/>
                      <w:bCs/>
                    </w:rPr>
                  </w:pPr>
                  <w:r w:rsidRPr="00631965">
                    <w:rPr>
                      <w:b/>
                      <w:bCs/>
                    </w:rPr>
                    <w:t>Housing</w:t>
                  </w:r>
                </w:p>
              </w:tc>
            </w:tr>
            <w:tr w:rsidR="00023B36" w14:paraId="74339B85" w14:textId="77777777" w:rsidTr="00043F7C">
              <w:tc>
                <w:tcPr>
                  <w:tcW w:w="4508" w:type="dxa"/>
                </w:tcPr>
                <w:p w14:paraId="7A040147" w14:textId="77777777" w:rsidR="00023B36" w:rsidRDefault="00023B36" w:rsidP="00A864EA">
                  <w:r>
                    <w:t>Land at Whaddon</w:t>
                  </w:r>
                </w:p>
              </w:tc>
              <w:tc>
                <w:tcPr>
                  <w:tcW w:w="4508" w:type="dxa"/>
                </w:tcPr>
                <w:p w14:paraId="06B1F5E9" w14:textId="77777777" w:rsidR="00023B36" w:rsidRDefault="00023B36" w:rsidP="00A864EA">
                  <w:pPr>
                    <w:jc w:val="right"/>
                  </w:pPr>
                  <w:r>
                    <w:t>3,000</w:t>
                  </w:r>
                </w:p>
              </w:tc>
            </w:tr>
          </w:tbl>
          <w:p w14:paraId="7AE24023" w14:textId="77777777" w:rsidR="00023B36" w:rsidRDefault="00023B36" w:rsidP="00A864EA"/>
          <w:p w14:paraId="53F2B212" w14:textId="4A430671" w:rsidR="00023B36" w:rsidRPr="00A1493A" w:rsidRDefault="00023B36" w:rsidP="001E4DC4"/>
        </w:tc>
        <w:tc>
          <w:tcPr>
            <w:tcW w:w="4380" w:type="dxa"/>
          </w:tcPr>
          <w:p w14:paraId="20A64FC8" w14:textId="312794E0" w:rsidR="00023B36" w:rsidRPr="001E4DC4" w:rsidRDefault="00023B36" w:rsidP="001E4DC4">
            <w:r>
              <w:lastRenderedPageBreak/>
              <w:t>Consider</w:t>
            </w:r>
            <w:r w:rsidRPr="001E4DC4">
              <w:t xml:space="preserve"> revisions to Core Policy CP2</w:t>
            </w:r>
            <w:r>
              <w:t xml:space="preserve"> to clearly define the spatial strategy</w:t>
            </w:r>
            <w:r w:rsidRPr="001E4DC4">
              <w:t xml:space="preserve"> (possibly taking wording from section 2.3)</w:t>
            </w:r>
          </w:p>
        </w:tc>
        <w:tc>
          <w:tcPr>
            <w:tcW w:w="1699" w:type="dxa"/>
          </w:tcPr>
          <w:p w14:paraId="36742715" w14:textId="64F80061" w:rsidR="00023B36" w:rsidRDefault="00023B36" w:rsidP="001E4DC4">
            <w:r>
              <w:t>Completed.</w:t>
            </w:r>
          </w:p>
          <w:p w14:paraId="5353DAC8" w14:textId="663AFE83" w:rsidR="00023B36" w:rsidRDefault="00023B36" w:rsidP="001E4DC4"/>
        </w:tc>
      </w:tr>
      <w:tr w:rsidR="00023B36" w14:paraId="1D842217" w14:textId="52FD1C3F" w:rsidTr="00023B36">
        <w:tc>
          <w:tcPr>
            <w:tcW w:w="1485" w:type="dxa"/>
          </w:tcPr>
          <w:p w14:paraId="2D1814F8" w14:textId="77777777" w:rsidR="00023B36" w:rsidRDefault="00023B36" w:rsidP="001E4DC4"/>
        </w:tc>
        <w:tc>
          <w:tcPr>
            <w:tcW w:w="829" w:type="dxa"/>
          </w:tcPr>
          <w:p w14:paraId="67B388E3" w14:textId="5B891481" w:rsidR="00023B36" w:rsidRDefault="00023B36" w:rsidP="001E4DC4">
            <w:r>
              <w:t>MD8</w:t>
            </w:r>
          </w:p>
        </w:tc>
        <w:tc>
          <w:tcPr>
            <w:tcW w:w="9532" w:type="dxa"/>
          </w:tcPr>
          <w:p w14:paraId="0FE9483C" w14:textId="4FBF826F" w:rsidR="00023B36" w:rsidRDefault="00023B36" w:rsidP="001E4DC4"/>
        </w:tc>
        <w:tc>
          <w:tcPr>
            <w:tcW w:w="4380" w:type="dxa"/>
          </w:tcPr>
          <w:p w14:paraId="0384ECFC" w14:textId="43A91E2E" w:rsidR="00023B36" w:rsidRDefault="00023B36" w:rsidP="001E4DC4">
            <w:r>
              <w:t>Consider revisions to Core Policy CP4. Issue seems to be the references to the guiding principles.</w:t>
            </w:r>
          </w:p>
        </w:tc>
        <w:tc>
          <w:tcPr>
            <w:tcW w:w="1699" w:type="dxa"/>
          </w:tcPr>
          <w:p w14:paraId="533184D0" w14:textId="3052F791" w:rsidR="00023B36" w:rsidRDefault="00023B36" w:rsidP="001E4DC4">
            <w:r>
              <w:t>SDC request further information from the Inspector on the nature of the changes envisaged.</w:t>
            </w:r>
          </w:p>
        </w:tc>
      </w:tr>
      <w:tr w:rsidR="00023B36" w14:paraId="038E1F27" w14:textId="2DC0F6EE" w:rsidTr="00023B36">
        <w:tc>
          <w:tcPr>
            <w:tcW w:w="1485" w:type="dxa"/>
          </w:tcPr>
          <w:p w14:paraId="711C9C14" w14:textId="5FB0AE11" w:rsidR="00023B36" w:rsidRDefault="00023B36" w:rsidP="001E4DC4">
            <w:r>
              <w:t>Matter Focused Highways Discussion</w:t>
            </w:r>
          </w:p>
        </w:tc>
        <w:tc>
          <w:tcPr>
            <w:tcW w:w="829" w:type="dxa"/>
          </w:tcPr>
          <w:p w14:paraId="5FB5ECE7" w14:textId="1B6CD064" w:rsidR="00023B36" w:rsidRPr="00A1493A" w:rsidRDefault="00023B36" w:rsidP="001E4DC4">
            <w:r>
              <w:t>MD9</w:t>
            </w:r>
          </w:p>
        </w:tc>
        <w:tc>
          <w:tcPr>
            <w:tcW w:w="9532" w:type="dxa"/>
          </w:tcPr>
          <w:p w14:paraId="719C8F4B" w14:textId="6D97481A" w:rsidR="00023B36" w:rsidRPr="00A1493A" w:rsidRDefault="00023B36" w:rsidP="001E4DC4">
            <w:r w:rsidRPr="00A1493A">
              <w:t>Changes to site allocation policies and Delivery Policy EI12 and supporting text</w:t>
            </w:r>
            <w:r>
              <w:t>.</w:t>
            </w:r>
            <w:r w:rsidRPr="00A1493A">
              <w:t xml:space="preserve"> </w:t>
            </w:r>
          </w:p>
        </w:tc>
        <w:tc>
          <w:tcPr>
            <w:tcW w:w="4380" w:type="dxa"/>
          </w:tcPr>
          <w:p w14:paraId="1E321CF8" w14:textId="3D1E79A4" w:rsidR="00023B36" w:rsidRDefault="00023B36" w:rsidP="001E4DC4">
            <w:r>
              <w:t>Consider changes to site allocation policies and EI12 to link necessary strategic transport schemes on SRN to specific sites for contributions</w:t>
            </w:r>
          </w:p>
        </w:tc>
        <w:tc>
          <w:tcPr>
            <w:tcW w:w="1699" w:type="dxa"/>
          </w:tcPr>
          <w:p w14:paraId="5ECDDA5B" w14:textId="6E4831BF" w:rsidR="00023B36" w:rsidRDefault="00023B36" w:rsidP="001E4DC4">
            <w:r>
              <w:t>Draft list of changes sent to NH for agreement</w:t>
            </w:r>
          </w:p>
        </w:tc>
      </w:tr>
      <w:tr w:rsidR="00023B36" w14:paraId="22C1E78A" w14:textId="77777777" w:rsidTr="00023B36">
        <w:tc>
          <w:tcPr>
            <w:tcW w:w="1485" w:type="dxa"/>
          </w:tcPr>
          <w:p w14:paraId="0CFF82EC" w14:textId="6B8532B9" w:rsidR="00023B36" w:rsidRPr="00C32C2A" w:rsidRDefault="00023B36" w:rsidP="004152AC">
            <w:r>
              <w:t>Matter 10a</w:t>
            </w:r>
          </w:p>
        </w:tc>
        <w:tc>
          <w:tcPr>
            <w:tcW w:w="829" w:type="dxa"/>
          </w:tcPr>
          <w:p w14:paraId="513C3960" w14:textId="6DCEFC8A" w:rsidR="00023B36" w:rsidRDefault="00023B36" w:rsidP="004152AC">
            <w:r>
              <w:t>MD10</w:t>
            </w:r>
          </w:p>
        </w:tc>
        <w:tc>
          <w:tcPr>
            <w:tcW w:w="9532" w:type="dxa"/>
          </w:tcPr>
          <w:p w14:paraId="0CD88455" w14:textId="327F1B04" w:rsidR="00023B36" w:rsidRDefault="00023B36" w:rsidP="004152AC">
            <w:r>
              <w:t>Core Policy DCP1</w:t>
            </w:r>
          </w:p>
          <w:p w14:paraId="0A3E637D" w14:textId="77777777" w:rsidR="00023B36" w:rsidRDefault="00023B36" w:rsidP="004152AC">
            <w:r>
              <w:t>Third bullet point:</w:t>
            </w:r>
          </w:p>
          <w:p w14:paraId="75741E7C" w14:textId="7138A14A" w:rsidR="00023B36" w:rsidRPr="008117DE" w:rsidRDefault="00023B36" w:rsidP="008117DE">
            <w:r w:rsidRPr="008117DE">
              <w:t>“</w:t>
            </w:r>
            <w:proofErr w:type="gramStart"/>
            <w:r w:rsidRPr="008117DE">
              <w:t>designed</w:t>
            </w:r>
            <w:proofErr w:type="gramEnd"/>
            <w:r w:rsidRPr="008117DE">
              <w:t xml:space="preserve"> to </w:t>
            </w:r>
            <w:r w:rsidRPr="008117DE">
              <w:rPr>
                <w:strike/>
              </w:rPr>
              <w:t>maximise</w:t>
            </w:r>
            <w:r>
              <w:t xml:space="preserve"> </w:t>
            </w:r>
            <w:r w:rsidRPr="008117DE">
              <w:rPr>
                <w:u w:val="single"/>
              </w:rPr>
              <w:t>enhance</w:t>
            </w:r>
            <w:r w:rsidRPr="008117DE">
              <w:t xml:space="preserve"> green infrastructure to sequester carbon, achieve nature recovery and to support local food production;”</w:t>
            </w:r>
          </w:p>
          <w:p w14:paraId="414E469A" w14:textId="6FE96797" w:rsidR="00023B36" w:rsidRDefault="00023B36" w:rsidP="004152AC"/>
        </w:tc>
        <w:tc>
          <w:tcPr>
            <w:tcW w:w="4380" w:type="dxa"/>
          </w:tcPr>
          <w:p w14:paraId="72F7603D" w14:textId="7FC93489" w:rsidR="00023B36" w:rsidRPr="0036083C" w:rsidRDefault="00023B36" w:rsidP="004152AC">
            <w:r w:rsidRPr="0036083C">
              <w:rPr>
                <w:rFonts w:ascii="Calibri" w:eastAsia="Calibri" w:hAnsi="Calibri" w:cs="Times New Roman"/>
              </w:rPr>
              <w:t xml:space="preserve">Liaise with Savills to agree a change </w:t>
            </w:r>
            <w:r>
              <w:rPr>
                <w:rFonts w:ascii="Calibri" w:eastAsia="Calibri" w:hAnsi="Calibri" w:cs="Times New Roman"/>
              </w:rPr>
              <w:t>from</w:t>
            </w:r>
            <w:r w:rsidRPr="0036083C">
              <w:rPr>
                <w:rFonts w:ascii="Calibri" w:eastAsia="Calibri" w:hAnsi="Calibri" w:cs="Times New Roman"/>
              </w:rPr>
              <w:t xml:space="preserve"> “maximis</w:t>
            </w:r>
            <w:r>
              <w:rPr>
                <w:rFonts w:ascii="Calibri" w:eastAsia="Calibri" w:hAnsi="Calibri" w:cs="Times New Roman"/>
              </w:rPr>
              <w:t>e</w:t>
            </w:r>
            <w:r w:rsidRPr="0036083C">
              <w:rPr>
                <w:rFonts w:ascii="Calibri" w:eastAsia="Calibri" w:hAnsi="Calibri" w:cs="Times New Roman"/>
              </w:rPr>
              <w:t xml:space="preserve">” green infrastructure. </w:t>
            </w:r>
          </w:p>
        </w:tc>
        <w:tc>
          <w:tcPr>
            <w:tcW w:w="1699" w:type="dxa"/>
          </w:tcPr>
          <w:p w14:paraId="42250F1F" w14:textId="4E382E89" w:rsidR="00023B36" w:rsidRPr="0036083C" w:rsidRDefault="00023B36" w:rsidP="004152AC">
            <w:r>
              <w:rPr>
                <w:rFonts w:ascii="Calibri" w:eastAsia="Calibri" w:hAnsi="Calibri" w:cs="Times New Roman"/>
              </w:rPr>
              <w:t xml:space="preserve">Agreed with Nick Matthews (Savills) </w:t>
            </w:r>
          </w:p>
        </w:tc>
      </w:tr>
      <w:tr w:rsidR="00023B36" w14:paraId="44257491" w14:textId="77777777" w:rsidTr="00023B36">
        <w:tc>
          <w:tcPr>
            <w:tcW w:w="1485" w:type="dxa"/>
          </w:tcPr>
          <w:p w14:paraId="595084A5" w14:textId="4BDA9F2E" w:rsidR="00023B36" w:rsidRDefault="00023B36" w:rsidP="001E4DC4">
            <w:r>
              <w:t>Matter 10a</w:t>
            </w:r>
          </w:p>
        </w:tc>
        <w:tc>
          <w:tcPr>
            <w:tcW w:w="829" w:type="dxa"/>
          </w:tcPr>
          <w:p w14:paraId="00FD86E3" w14:textId="45684A47" w:rsidR="00023B36" w:rsidRDefault="00023B36" w:rsidP="001E4DC4">
            <w:r>
              <w:t>MD11</w:t>
            </w:r>
          </w:p>
        </w:tc>
        <w:tc>
          <w:tcPr>
            <w:tcW w:w="9532" w:type="dxa"/>
          </w:tcPr>
          <w:p w14:paraId="08A81EF4" w14:textId="17D3BB25" w:rsidR="00023B36" w:rsidRDefault="00023B36" w:rsidP="00F66E80">
            <w:r>
              <w:t>Core Policy DCP1</w:t>
            </w:r>
          </w:p>
          <w:p w14:paraId="30BF3B68" w14:textId="55C7A02E" w:rsidR="00023B36" w:rsidRDefault="00023B36" w:rsidP="00F66E80">
            <w:r>
              <w:t>Fourth bullet point:</w:t>
            </w:r>
          </w:p>
          <w:p w14:paraId="50D401E9" w14:textId="34B82001" w:rsidR="00023B36" w:rsidRPr="00F66E80" w:rsidRDefault="00023B36" w:rsidP="00F66E80">
            <w:r w:rsidRPr="00F66E80">
              <w:t xml:space="preserve">Accordingly, new development should be constructed to achieve </w:t>
            </w:r>
            <w:r w:rsidRPr="00F66E80">
              <w:rPr>
                <w:strike/>
              </w:rPr>
              <w:t>the highest viable</w:t>
            </w:r>
            <w:r w:rsidRPr="00F66E80">
              <w:t xml:space="preserve"> energy efficiency and </w:t>
            </w:r>
            <w:r w:rsidRPr="00F66E80">
              <w:rPr>
                <w:strike/>
              </w:rPr>
              <w:t>designed to maximise</w:t>
            </w:r>
            <w:r w:rsidRPr="00F66E80">
              <w:t xml:space="preserve"> the delivery of decentralised renewable or low-carbon energy generation</w:t>
            </w:r>
            <w:r w:rsidRPr="00F66E80">
              <w:rPr>
                <w:u w:val="single"/>
              </w:rPr>
              <w:t xml:space="preserve"> in accordance with approved standards</w:t>
            </w:r>
            <w:r w:rsidRPr="00F66E80">
              <w:t xml:space="preserve">.” </w:t>
            </w:r>
          </w:p>
          <w:p w14:paraId="192C56E2" w14:textId="77777777" w:rsidR="00023B36" w:rsidRDefault="00023B36" w:rsidP="001E4DC4"/>
        </w:tc>
        <w:tc>
          <w:tcPr>
            <w:tcW w:w="4380" w:type="dxa"/>
          </w:tcPr>
          <w:p w14:paraId="550DDA38" w14:textId="6CD03EEE" w:rsidR="00023B36" w:rsidRDefault="00023B36" w:rsidP="001E4DC4">
            <w:r>
              <w:t>Liaise with HBF to agree any changes to be consistent with delivery policies and national policy</w:t>
            </w:r>
          </w:p>
        </w:tc>
        <w:tc>
          <w:tcPr>
            <w:tcW w:w="1699" w:type="dxa"/>
          </w:tcPr>
          <w:p w14:paraId="4020C4AA" w14:textId="72159F7E" w:rsidR="00023B36" w:rsidRDefault="00023B36" w:rsidP="001E4DC4">
            <w:r>
              <w:t>Agreed with Mark Behrendt (HBF)</w:t>
            </w:r>
          </w:p>
        </w:tc>
      </w:tr>
      <w:tr w:rsidR="00023B36" w14:paraId="72254534" w14:textId="372B0DF3" w:rsidTr="00023B36">
        <w:tc>
          <w:tcPr>
            <w:tcW w:w="1485" w:type="dxa"/>
          </w:tcPr>
          <w:p w14:paraId="611A6D5D" w14:textId="7065A68D" w:rsidR="00023B36" w:rsidRDefault="00023B36" w:rsidP="001E4DC4">
            <w:r>
              <w:t>Matter 10a</w:t>
            </w:r>
          </w:p>
        </w:tc>
        <w:tc>
          <w:tcPr>
            <w:tcW w:w="829" w:type="dxa"/>
          </w:tcPr>
          <w:p w14:paraId="454FBFC6" w14:textId="3B6E3932" w:rsidR="00023B36" w:rsidRDefault="00023B36" w:rsidP="001E4DC4">
            <w:r>
              <w:t>MD12</w:t>
            </w:r>
          </w:p>
        </w:tc>
        <w:tc>
          <w:tcPr>
            <w:tcW w:w="9532" w:type="dxa"/>
          </w:tcPr>
          <w:p w14:paraId="436145A0" w14:textId="0F364ACF" w:rsidR="00023B36" w:rsidRDefault="00023B36" w:rsidP="001E4DC4">
            <w:r>
              <w:t>Change to Core Policy CP15</w:t>
            </w:r>
          </w:p>
          <w:p w14:paraId="30E09D13" w14:textId="2D2748C6" w:rsidR="00023B36" w:rsidRDefault="00023B36" w:rsidP="001E4DC4">
            <w:r>
              <w:t>Amend criterion (</w:t>
            </w:r>
            <w:proofErr w:type="spellStart"/>
            <w:r>
              <w:t>i</w:t>
            </w:r>
            <w:proofErr w:type="spellEnd"/>
            <w:r>
              <w:t xml:space="preserve">): </w:t>
            </w:r>
          </w:p>
          <w:p w14:paraId="571FA65A" w14:textId="7E30F2AB" w:rsidR="00023B36" w:rsidRDefault="00023B36" w:rsidP="001E4DC4"/>
          <w:p w14:paraId="4DE268FE" w14:textId="0F455A13" w:rsidR="00023B36" w:rsidRDefault="00023B36" w:rsidP="00360A86">
            <w:pPr>
              <w:pStyle w:val="ListParagraph"/>
              <w:numPr>
                <w:ilvl w:val="0"/>
                <w:numId w:val="2"/>
              </w:numPr>
              <w:spacing w:after="200" w:line="276" w:lineRule="auto"/>
              <w:ind w:left="466" w:hanging="425"/>
            </w:pPr>
            <w:r>
              <w:lastRenderedPageBreak/>
              <w:t xml:space="preserve">it does not </w:t>
            </w:r>
            <w:r w:rsidRPr="00360A86">
              <w:rPr>
                <w:strike/>
              </w:rPr>
              <w:t>have an adverse impact on</w:t>
            </w:r>
            <w:r>
              <w:t xml:space="preserve"> </w:t>
            </w:r>
            <w:r w:rsidRPr="00360A86">
              <w:rPr>
                <w:u w:val="single"/>
              </w:rPr>
              <w:t>lead to unjustified loss or harm to the significance of a</w:t>
            </w:r>
            <w:r>
              <w:t xml:space="preserve"> heritage </w:t>
            </w:r>
            <w:r w:rsidRPr="00360A86">
              <w:t>asset</w:t>
            </w:r>
            <w:r w:rsidRPr="00360A86">
              <w:rPr>
                <w:strike/>
              </w:rPr>
              <w:t>s and their</w:t>
            </w:r>
            <w:r>
              <w:t xml:space="preserve"> </w:t>
            </w:r>
            <w:r w:rsidRPr="00360A86">
              <w:rPr>
                <w:u w:val="single"/>
              </w:rPr>
              <w:t>or its</w:t>
            </w:r>
            <w:r>
              <w:t xml:space="preserve"> setting; and</w:t>
            </w:r>
          </w:p>
        </w:tc>
        <w:tc>
          <w:tcPr>
            <w:tcW w:w="4380" w:type="dxa"/>
          </w:tcPr>
          <w:p w14:paraId="01E2BACF" w14:textId="56A25DFC" w:rsidR="00023B36" w:rsidRDefault="00023B36" w:rsidP="001E4DC4">
            <w:r>
              <w:lastRenderedPageBreak/>
              <w:t>Look at consistency of (</w:t>
            </w:r>
            <w:proofErr w:type="spellStart"/>
            <w:r>
              <w:t>i</w:t>
            </w:r>
            <w:proofErr w:type="spellEnd"/>
            <w:r>
              <w:t>) regarding heritage, in relation to NPPF and Delivery Policy ES10</w:t>
            </w:r>
          </w:p>
        </w:tc>
        <w:tc>
          <w:tcPr>
            <w:tcW w:w="1699" w:type="dxa"/>
          </w:tcPr>
          <w:p w14:paraId="09C2F52D" w14:textId="0937FB57" w:rsidR="00023B36" w:rsidRDefault="00023B36" w:rsidP="001E4DC4">
            <w:r>
              <w:t>Completed.</w:t>
            </w:r>
          </w:p>
        </w:tc>
      </w:tr>
      <w:tr w:rsidR="00023B36" w14:paraId="400A06BE" w14:textId="77777777" w:rsidTr="00023B36">
        <w:tc>
          <w:tcPr>
            <w:tcW w:w="1485" w:type="dxa"/>
          </w:tcPr>
          <w:p w14:paraId="6B067B54" w14:textId="582DD7FD" w:rsidR="00023B36" w:rsidRDefault="00023B36" w:rsidP="001E4DC4">
            <w:r>
              <w:t>Matter 10a</w:t>
            </w:r>
          </w:p>
        </w:tc>
        <w:tc>
          <w:tcPr>
            <w:tcW w:w="829" w:type="dxa"/>
          </w:tcPr>
          <w:p w14:paraId="134E7E05" w14:textId="6A7306FA" w:rsidR="00023B36" w:rsidRDefault="00023B36" w:rsidP="001E4DC4">
            <w:r>
              <w:t>MD13</w:t>
            </w:r>
          </w:p>
        </w:tc>
        <w:tc>
          <w:tcPr>
            <w:tcW w:w="9532" w:type="dxa"/>
          </w:tcPr>
          <w:p w14:paraId="67D7B31B" w14:textId="1F7CD6F0" w:rsidR="00023B36" w:rsidRDefault="00023B36" w:rsidP="001E4DC4">
            <w:r>
              <w:t>Change to Core Policy CP15</w:t>
            </w:r>
          </w:p>
          <w:p w14:paraId="7E04E4D2" w14:textId="77777777" w:rsidR="00023B36" w:rsidRDefault="00023B36" w:rsidP="001E4DC4">
            <w:r>
              <w:t>Add new bullet point 10, to read:</w:t>
            </w:r>
          </w:p>
          <w:p w14:paraId="72B629D8" w14:textId="648DA96B" w:rsidR="00023B36" w:rsidRDefault="00023B36" w:rsidP="001E4DC4">
            <w:r>
              <w:t>“</w:t>
            </w:r>
            <w:r w:rsidRPr="00D40477">
              <w:rPr>
                <w:u w:val="single"/>
              </w:rPr>
              <w:t>It is a live work development</w:t>
            </w:r>
            <w:r>
              <w:t>.”</w:t>
            </w:r>
          </w:p>
        </w:tc>
        <w:tc>
          <w:tcPr>
            <w:tcW w:w="4380" w:type="dxa"/>
          </w:tcPr>
          <w:p w14:paraId="517025B3" w14:textId="4E92C434" w:rsidR="00023B36" w:rsidRDefault="00023B36" w:rsidP="001E4DC4">
            <w:r>
              <w:t>Add additional bullet point 10 to refer to ' live work development’</w:t>
            </w:r>
          </w:p>
        </w:tc>
        <w:tc>
          <w:tcPr>
            <w:tcW w:w="1699" w:type="dxa"/>
          </w:tcPr>
          <w:p w14:paraId="34411687" w14:textId="48BD664F" w:rsidR="00023B36" w:rsidRDefault="00023B36" w:rsidP="001E4DC4">
            <w:r>
              <w:t>Completed.</w:t>
            </w:r>
          </w:p>
        </w:tc>
      </w:tr>
      <w:tr w:rsidR="00023B36" w14:paraId="05FA7A72" w14:textId="77777777" w:rsidTr="00023B36">
        <w:tc>
          <w:tcPr>
            <w:tcW w:w="1485" w:type="dxa"/>
          </w:tcPr>
          <w:p w14:paraId="06731A97" w14:textId="46D6C87F" w:rsidR="00023B36" w:rsidRDefault="00023B36" w:rsidP="001E4DC4">
            <w:r>
              <w:t xml:space="preserve">Matter 10a </w:t>
            </w:r>
          </w:p>
        </w:tc>
        <w:tc>
          <w:tcPr>
            <w:tcW w:w="829" w:type="dxa"/>
          </w:tcPr>
          <w:p w14:paraId="0EE41F31" w14:textId="121034F1" w:rsidR="00023B36" w:rsidRDefault="00023B36" w:rsidP="001E4DC4">
            <w:r>
              <w:t>MD14</w:t>
            </w:r>
          </w:p>
        </w:tc>
        <w:tc>
          <w:tcPr>
            <w:tcW w:w="9532" w:type="dxa"/>
          </w:tcPr>
          <w:p w14:paraId="2317AAAF" w14:textId="45454E92" w:rsidR="00023B36" w:rsidRDefault="00023B36" w:rsidP="001E4DC4">
            <w:r>
              <w:t>Core Policy CP15</w:t>
            </w:r>
          </w:p>
          <w:p w14:paraId="45252C12" w14:textId="77777777" w:rsidR="00023B36" w:rsidRDefault="00023B36" w:rsidP="001E4DC4">
            <w:r>
              <w:t xml:space="preserve">“7. It will involve essential community facilities </w:t>
            </w:r>
            <w:r w:rsidRPr="009447D4">
              <w:rPr>
                <w:u w:val="single"/>
              </w:rPr>
              <w:t>or infrastructure</w:t>
            </w:r>
            <w:r>
              <w:t>;”</w:t>
            </w:r>
          </w:p>
          <w:p w14:paraId="08CFD9AB" w14:textId="5ADF574E" w:rsidR="00023B36" w:rsidRDefault="00023B36" w:rsidP="001E4DC4"/>
        </w:tc>
        <w:tc>
          <w:tcPr>
            <w:tcW w:w="4380" w:type="dxa"/>
          </w:tcPr>
          <w:p w14:paraId="28DE1B30" w14:textId="3352E192" w:rsidR="00023B36" w:rsidRDefault="00023B36" w:rsidP="001E4DC4">
            <w:r>
              <w:t>Add “infrastructure”</w:t>
            </w:r>
          </w:p>
        </w:tc>
        <w:tc>
          <w:tcPr>
            <w:tcW w:w="1699" w:type="dxa"/>
          </w:tcPr>
          <w:p w14:paraId="1C265794" w14:textId="7AF317A7" w:rsidR="00023B36" w:rsidRDefault="00023B36" w:rsidP="001E4DC4">
            <w:r>
              <w:t>Completed.</w:t>
            </w:r>
          </w:p>
        </w:tc>
      </w:tr>
      <w:tr w:rsidR="00023B36" w14:paraId="31E81AD5" w14:textId="77777777" w:rsidTr="00023B36">
        <w:tc>
          <w:tcPr>
            <w:tcW w:w="1485" w:type="dxa"/>
          </w:tcPr>
          <w:p w14:paraId="06DD60FA" w14:textId="5369797B" w:rsidR="00023B36" w:rsidRPr="000052C7" w:rsidRDefault="00023B36" w:rsidP="001E4DC4">
            <w:bookmarkStart w:id="0" w:name="_Hlk131425080"/>
            <w:r w:rsidRPr="000052C7">
              <w:t>Matter 10a</w:t>
            </w:r>
          </w:p>
        </w:tc>
        <w:tc>
          <w:tcPr>
            <w:tcW w:w="829" w:type="dxa"/>
          </w:tcPr>
          <w:p w14:paraId="2AC3EBA7" w14:textId="0A62FE6B" w:rsidR="00023B36" w:rsidRPr="000052C7" w:rsidRDefault="00023B36" w:rsidP="000052C7">
            <w:r>
              <w:t>MD15</w:t>
            </w:r>
          </w:p>
        </w:tc>
        <w:tc>
          <w:tcPr>
            <w:tcW w:w="9532" w:type="dxa"/>
          </w:tcPr>
          <w:p w14:paraId="4A83308D" w14:textId="608D60B5" w:rsidR="00023B36" w:rsidRPr="000052C7" w:rsidRDefault="00023B36" w:rsidP="000052C7">
            <w:r w:rsidRPr="000052C7">
              <w:t>Delivery Policy ES1 Sustainable Construction and Design</w:t>
            </w:r>
          </w:p>
          <w:p w14:paraId="5DC5678B" w14:textId="77777777" w:rsidR="00023B36" w:rsidRDefault="00023B36" w:rsidP="000052C7"/>
          <w:p w14:paraId="2DF48CA8" w14:textId="30407B3B" w:rsidR="00023B36" w:rsidRPr="000052C7" w:rsidRDefault="00023B36" w:rsidP="000052C7">
            <w:r w:rsidRPr="000052C7">
              <w:t>Sustainable design and construction will be integral to new development in Stroud</w:t>
            </w:r>
            <w:r>
              <w:t xml:space="preserve"> </w:t>
            </w:r>
            <w:r w:rsidRPr="000052C7">
              <w:t>District. Development proposals should meet the following requirements:</w:t>
            </w:r>
          </w:p>
          <w:p w14:paraId="542B19BC" w14:textId="6E11EB3F" w:rsidR="00023B36" w:rsidRDefault="00023B36" w:rsidP="000052C7">
            <w:r w:rsidRPr="000052C7">
              <w:t xml:space="preserve">1. Achieve net-zero carbon </w:t>
            </w:r>
            <w:r w:rsidRPr="000052C7">
              <w:rPr>
                <w:rFonts w:hint="eastAsia"/>
              </w:rPr>
              <w:t>–</w:t>
            </w:r>
            <w:r w:rsidRPr="000052C7">
              <w:t xml:space="preserve"> all new development should achieve a net zero</w:t>
            </w:r>
            <w:r>
              <w:t xml:space="preserve"> </w:t>
            </w:r>
            <w:r w:rsidRPr="000052C7">
              <w:t>carbon standard by means of:</w:t>
            </w:r>
          </w:p>
          <w:p w14:paraId="53A620F6" w14:textId="2314B387" w:rsidR="00023B36" w:rsidRPr="000052C7" w:rsidRDefault="00023B36" w:rsidP="000052C7">
            <w:r w:rsidRPr="000052C7">
              <w:t>a) an overall minimum 35% reduction in emissions over Part L 2013 Building</w:t>
            </w:r>
          </w:p>
          <w:p w14:paraId="124EA78E" w14:textId="6824E359" w:rsidR="00023B36" w:rsidRPr="000052C7" w:rsidRDefault="00023B36" w:rsidP="000052C7">
            <w:r w:rsidRPr="000052C7">
              <w:t>Regulations achieved onsite</w:t>
            </w:r>
            <w:r w:rsidRPr="000052C7">
              <w:rPr>
                <w:u w:val="single"/>
              </w:rPr>
              <w:t>, until superseded by higher standards set</w:t>
            </w:r>
            <w:r>
              <w:rPr>
                <w:u w:val="single"/>
              </w:rPr>
              <w:t xml:space="preserve"> </w:t>
            </w:r>
            <w:r w:rsidRPr="000052C7">
              <w:rPr>
                <w:u w:val="single"/>
              </w:rPr>
              <w:t xml:space="preserve">through further revisions to the Building </w:t>
            </w:r>
            <w:proofErr w:type="gramStart"/>
            <w:r w:rsidRPr="000052C7">
              <w:rPr>
                <w:u w:val="single"/>
              </w:rPr>
              <w:t>Regulations;</w:t>
            </w:r>
            <w:proofErr w:type="gramEnd"/>
          </w:p>
          <w:p w14:paraId="5EDEE108" w14:textId="4B656182" w:rsidR="00023B36" w:rsidRPr="000052C7" w:rsidRDefault="00023B36" w:rsidP="000052C7">
            <w:r w:rsidRPr="000052C7">
              <w:t>b) a minimum of 10% and 15% reduction in emissions over Part L 2013</w:t>
            </w:r>
            <w:r>
              <w:t xml:space="preserve"> </w:t>
            </w:r>
            <w:r w:rsidRPr="000052C7">
              <w:t>Building Regulations achieved respectively in homes and in non-domestic</w:t>
            </w:r>
            <w:r>
              <w:t xml:space="preserve"> </w:t>
            </w:r>
            <w:r w:rsidRPr="000052C7">
              <w:t>developments through fabric energy efficiency improvements</w:t>
            </w:r>
            <w:r w:rsidRPr="000052C7">
              <w:rPr>
                <w:u w:val="single"/>
              </w:rPr>
              <w:t xml:space="preserve">, until superseded by higher standards set through further revisions to the Building </w:t>
            </w:r>
            <w:proofErr w:type="gramStart"/>
            <w:r w:rsidRPr="000052C7">
              <w:rPr>
                <w:u w:val="single"/>
              </w:rPr>
              <w:t>Regulations</w:t>
            </w:r>
            <w:r>
              <w:rPr>
                <w:u w:val="single"/>
              </w:rPr>
              <w:t>;</w:t>
            </w:r>
            <w:proofErr w:type="gramEnd"/>
          </w:p>
          <w:p w14:paraId="6FD67726" w14:textId="5A42D793" w:rsidR="00023B36" w:rsidRPr="000052C7" w:rsidRDefault="00023B36" w:rsidP="000052C7">
            <w:r w:rsidRPr="000052C7">
              <w:t>c) residual emissions offset through payments to a Stroud District Council</w:t>
            </w:r>
            <w:r>
              <w:t xml:space="preserve"> </w:t>
            </w:r>
            <w:r w:rsidRPr="000052C7">
              <w:t>carbon offset fund</w:t>
            </w:r>
            <w:r>
              <w:t>…</w:t>
            </w:r>
            <w:proofErr w:type="gramStart"/>
            <w:r>
              <w:t>…..</w:t>
            </w:r>
            <w:proofErr w:type="gramEnd"/>
          </w:p>
          <w:p w14:paraId="4082ABA4" w14:textId="77777777" w:rsidR="00023B36" w:rsidRDefault="00023B36" w:rsidP="000052C7"/>
          <w:p w14:paraId="5D08EDD2" w14:textId="6FFF81B3" w:rsidR="00023B36" w:rsidRPr="000052C7" w:rsidRDefault="00023B36" w:rsidP="000052C7">
            <w:pPr>
              <w:rPr>
                <w:u w:val="single"/>
              </w:rPr>
            </w:pPr>
            <w:r w:rsidRPr="000052C7">
              <w:t>9.</w:t>
            </w:r>
            <w:r>
              <w:t xml:space="preserve"> </w:t>
            </w:r>
            <w:r w:rsidRPr="000052C7">
              <w:t>Applications for all development will need to be accompanied by a completed</w:t>
            </w:r>
            <w:r>
              <w:t xml:space="preserve"> </w:t>
            </w:r>
            <w:r w:rsidRPr="000052C7">
              <w:t xml:space="preserve">Stroud District Sustainable Construction Checklist </w:t>
            </w:r>
            <w:r w:rsidRPr="000052C7">
              <w:rPr>
                <w:u w:val="single"/>
              </w:rPr>
              <w:t>and an energy statement reporting carbon emission reductions against clauses 1(a) and 1(b) and residual</w:t>
            </w:r>
          </w:p>
          <w:p w14:paraId="4715B5BE" w14:textId="77777777" w:rsidR="00023B36" w:rsidRDefault="00023B36" w:rsidP="000052C7">
            <w:pPr>
              <w:rPr>
                <w:u w:val="single"/>
              </w:rPr>
            </w:pPr>
            <w:r w:rsidRPr="000052C7">
              <w:rPr>
                <w:u w:val="single"/>
              </w:rPr>
              <w:t>emissions.</w:t>
            </w:r>
          </w:p>
          <w:p w14:paraId="7FA0D914" w14:textId="77777777" w:rsidR="00023B36" w:rsidRDefault="00023B36" w:rsidP="000052C7">
            <w:pPr>
              <w:rPr>
                <w:u w:val="single"/>
              </w:rPr>
            </w:pPr>
          </w:p>
          <w:p w14:paraId="75DE15E8" w14:textId="7AC9C167" w:rsidR="00023B36" w:rsidRPr="000052C7" w:rsidRDefault="00023B36" w:rsidP="000052C7">
            <w:r w:rsidRPr="000052C7">
              <w:t>All development will be built in accordance with the approved plans, and the</w:t>
            </w:r>
            <w:r>
              <w:t xml:space="preserve"> </w:t>
            </w:r>
            <w:r w:rsidRPr="000052C7">
              <w:t xml:space="preserve">Sustainable Construction Checklist </w:t>
            </w:r>
            <w:r w:rsidRPr="000052C7">
              <w:rPr>
                <w:u w:val="single"/>
              </w:rPr>
              <w:t>and energy statement</w:t>
            </w:r>
            <w:r w:rsidRPr="000052C7">
              <w:t>.</w:t>
            </w:r>
          </w:p>
        </w:tc>
        <w:tc>
          <w:tcPr>
            <w:tcW w:w="4380" w:type="dxa"/>
          </w:tcPr>
          <w:p w14:paraId="63FB633C" w14:textId="02BC1D58" w:rsidR="00023B36" w:rsidRPr="00755B89" w:rsidRDefault="00023B36" w:rsidP="001E4DC4">
            <w:pPr>
              <w:rPr>
                <w:highlight w:val="yellow"/>
              </w:rPr>
            </w:pPr>
            <w:r w:rsidRPr="000052C7">
              <w:t>Amendment to policy set out in Matter 10a statement.</w:t>
            </w:r>
          </w:p>
        </w:tc>
        <w:tc>
          <w:tcPr>
            <w:tcW w:w="1699" w:type="dxa"/>
          </w:tcPr>
          <w:p w14:paraId="276A3E63" w14:textId="1D695DB2" w:rsidR="00023B36" w:rsidRPr="000052C7" w:rsidRDefault="00023B36" w:rsidP="001E4DC4">
            <w:r w:rsidRPr="000052C7">
              <w:t>Completed.</w:t>
            </w:r>
          </w:p>
        </w:tc>
      </w:tr>
      <w:bookmarkEnd w:id="0"/>
      <w:tr w:rsidR="00023B36" w14:paraId="67895F1B" w14:textId="77777777" w:rsidTr="00023B36">
        <w:tc>
          <w:tcPr>
            <w:tcW w:w="1485" w:type="dxa"/>
          </w:tcPr>
          <w:p w14:paraId="2F8310CB" w14:textId="5F4B825B" w:rsidR="00023B36" w:rsidRPr="00B139BA" w:rsidRDefault="00023B36" w:rsidP="00B139BA">
            <w:r w:rsidRPr="00B139BA">
              <w:t>Matter 10a</w:t>
            </w:r>
          </w:p>
        </w:tc>
        <w:tc>
          <w:tcPr>
            <w:tcW w:w="829" w:type="dxa"/>
          </w:tcPr>
          <w:p w14:paraId="21F14CDF" w14:textId="3A03AE4A" w:rsidR="00023B36" w:rsidRPr="00EB6199" w:rsidRDefault="00023B36" w:rsidP="00B139BA">
            <w:r>
              <w:t>MD16</w:t>
            </w:r>
          </w:p>
        </w:tc>
        <w:tc>
          <w:tcPr>
            <w:tcW w:w="9532" w:type="dxa"/>
          </w:tcPr>
          <w:p w14:paraId="6A16F91E" w14:textId="39342EB9" w:rsidR="00023B36" w:rsidRPr="00EB6199" w:rsidRDefault="00023B36" w:rsidP="00B139BA">
            <w:r w:rsidRPr="00EB6199">
              <w:t>Proposed revised wording for Delivery Policy DES3</w:t>
            </w:r>
          </w:p>
          <w:p w14:paraId="30232891" w14:textId="7885697C" w:rsidR="00023B36" w:rsidRDefault="00023B36" w:rsidP="00B139BA">
            <w:r>
              <w:t>Delete current policy and replace with:</w:t>
            </w:r>
          </w:p>
          <w:p w14:paraId="04252262" w14:textId="591906B5" w:rsidR="00023B36" w:rsidRPr="00B139BA" w:rsidRDefault="00023B36" w:rsidP="00B139BA">
            <w:pPr>
              <w:rPr>
                <w:u w:val="single"/>
              </w:rPr>
            </w:pPr>
            <w:r w:rsidRPr="00EB6199">
              <w:rPr>
                <w:u w:val="single"/>
              </w:rPr>
              <w:t>Zero carbon heat supply</w:t>
            </w:r>
            <w:r w:rsidRPr="00B139BA">
              <w:rPr>
                <w:u w:val="single"/>
              </w:rPr>
              <w:t xml:space="preserve"> </w:t>
            </w:r>
          </w:p>
          <w:p w14:paraId="1271126C" w14:textId="1D95A81E" w:rsidR="00023B36" w:rsidRPr="00EB6199" w:rsidRDefault="00023B36" w:rsidP="00B139BA">
            <w:pPr>
              <w:rPr>
                <w:u w:val="single"/>
              </w:rPr>
            </w:pPr>
            <w:r w:rsidRPr="00EB6199">
              <w:rPr>
                <w:u w:val="single"/>
              </w:rPr>
              <w:t>All new development should incorporate efficient zero-carbon heating systems</w:t>
            </w:r>
            <w:r>
              <w:rPr>
                <w:u w:val="single"/>
              </w:rPr>
              <w:t xml:space="preserve"> </w:t>
            </w:r>
            <w:r w:rsidRPr="00EB6199">
              <w:rPr>
                <w:u w:val="single"/>
              </w:rPr>
              <w:t>which minimise running costs.</w:t>
            </w:r>
          </w:p>
          <w:p w14:paraId="1FC2251F" w14:textId="11983EF4" w:rsidR="00023B36" w:rsidRPr="00EB6199" w:rsidRDefault="00023B36" w:rsidP="00B139BA">
            <w:pPr>
              <w:rPr>
                <w:u w:val="single"/>
              </w:rPr>
            </w:pPr>
            <w:r w:rsidRPr="00EB6199">
              <w:rPr>
                <w:u w:val="single"/>
              </w:rPr>
              <w:t>To minimise carbon emissions and running costs, heating systems for new</w:t>
            </w:r>
            <w:r w:rsidRPr="00B139BA">
              <w:rPr>
                <w:u w:val="single"/>
              </w:rPr>
              <w:t xml:space="preserve"> </w:t>
            </w:r>
            <w:r w:rsidRPr="00EB6199">
              <w:rPr>
                <w:u w:val="single"/>
              </w:rPr>
              <w:t xml:space="preserve">development should be selected in accordance with the following </w:t>
            </w:r>
            <w:proofErr w:type="gramStart"/>
            <w:r w:rsidRPr="00EB6199">
              <w:rPr>
                <w:u w:val="single"/>
              </w:rPr>
              <w:t>heating</w:t>
            </w:r>
            <w:proofErr w:type="gramEnd"/>
          </w:p>
          <w:p w14:paraId="7616D86C" w14:textId="77777777" w:rsidR="00023B36" w:rsidRPr="00EB6199" w:rsidRDefault="00023B36" w:rsidP="00B139BA">
            <w:pPr>
              <w:rPr>
                <w:u w:val="single"/>
              </w:rPr>
            </w:pPr>
            <w:r w:rsidRPr="00EB6199">
              <w:rPr>
                <w:u w:val="single"/>
              </w:rPr>
              <w:t>hierarchy:</w:t>
            </w:r>
          </w:p>
          <w:p w14:paraId="65798FFB" w14:textId="77777777" w:rsidR="00023B36" w:rsidRPr="00EB6199" w:rsidRDefault="00023B36" w:rsidP="00B139BA">
            <w:pPr>
              <w:rPr>
                <w:u w:val="single"/>
              </w:rPr>
            </w:pPr>
            <w:r w:rsidRPr="00EB6199">
              <w:rPr>
                <w:u w:val="single"/>
              </w:rPr>
              <w:t>1. Connect to local existing or planned heat networks.</w:t>
            </w:r>
          </w:p>
          <w:p w14:paraId="71EBC51A" w14:textId="0B2400D8" w:rsidR="00023B36" w:rsidRPr="00EB6199" w:rsidRDefault="00023B36" w:rsidP="00B139BA">
            <w:pPr>
              <w:rPr>
                <w:u w:val="single"/>
              </w:rPr>
            </w:pPr>
            <w:r w:rsidRPr="00EB6199">
              <w:rPr>
                <w:u w:val="single"/>
              </w:rPr>
              <w:t>2. Create a site-wide heat network and commit to extending the network</w:t>
            </w:r>
            <w:r w:rsidRPr="00B139BA">
              <w:rPr>
                <w:u w:val="single"/>
              </w:rPr>
              <w:t xml:space="preserve"> </w:t>
            </w:r>
            <w:r w:rsidRPr="00EB6199">
              <w:rPr>
                <w:u w:val="single"/>
              </w:rPr>
              <w:t>beyond the site where viable.</w:t>
            </w:r>
          </w:p>
          <w:p w14:paraId="6C4C18B6" w14:textId="00120ECE" w:rsidR="00023B36" w:rsidRPr="00EB6199" w:rsidRDefault="00023B36" w:rsidP="00B139BA">
            <w:pPr>
              <w:rPr>
                <w:u w:val="single"/>
              </w:rPr>
            </w:pPr>
            <w:r w:rsidRPr="00EB6199">
              <w:rPr>
                <w:u w:val="single"/>
              </w:rPr>
              <w:t>3. Install communal heating systems which minimise the cost of future</w:t>
            </w:r>
            <w:r w:rsidRPr="00B139BA">
              <w:rPr>
                <w:u w:val="single"/>
              </w:rPr>
              <w:t xml:space="preserve"> </w:t>
            </w:r>
            <w:r w:rsidRPr="00EB6199">
              <w:rPr>
                <w:u w:val="single"/>
              </w:rPr>
              <w:t>connection to a heat network.</w:t>
            </w:r>
          </w:p>
          <w:p w14:paraId="0F986CEB" w14:textId="438C7439" w:rsidR="00023B36" w:rsidRPr="00EB6199" w:rsidRDefault="00023B36" w:rsidP="00B139BA">
            <w:pPr>
              <w:rPr>
                <w:u w:val="single"/>
              </w:rPr>
            </w:pPr>
            <w:r w:rsidRPr="00EB6199">
              <w:rPr>
                <w:u w:val="single"/>
              </w:rPr>
              <w:t>4. For extremely thermally efficient* and/or small-scale developments where</w:t>
            </w:r>
            <w:r w:rsidRPr="00B139BA">
              <w:rPr>
                <w:u w:val="single"/>
              </w:rPr>
              <w:t xml:space="preserve"> </w:t>
            </w:r>
            <w:r w:rsidRPr="00EB6199">
              <w:rPr>
                <w:u w:val="single"/>
              </w:rPr>
              <w:t>1-3 are not viable, install individual-premises heating systems.</w:t>
            </w:r>
          </w:p>
          <w:p w14:paraId="65973EBF" w14:textId="77777777" w:rsidR="00023B36" w:rsidRPr="00EB6199" w:rsidRDefault="00023B36" w:rsidP="00B139BA">
            <w:pPr>
              <w:rPr>
                <w:u w:val="single"/>
              </w:rPr>
            </w:pPr>
            <w:r w:rsidRPr="00EB6199">
              <w:rPr>
                <w:u w:val="single"/>
              </w:rPr>
              <w:t xml:space="preserve">In applying the above hierarchy, the following points should be </w:t>
            </w:r>
            <w:proofErr w:type="gramStart"/>
            <w:r w:rsidRPr="00EB6199">
              <w:rPr>
                <w:u w:val="single"/>
              </w:rPr>
              <w:t>taken into account</w:t>
            </w:r>
            <w:proofErr w:type="gramEnd"/>
            <w:r w:rsidRPr="00EB6199">
              <w:rPr>
                <w:u w:val="single"/>
              </w:rPr>
              <w:t>:</w:t>
            </w:r>
          </w:p>
          <w:p w14:paraId="356D7686" w14:textId="1B0FBD68" w:rsidR="00023B36" w:rsidRPr="00EB6199" w:rsidRDefault="00023B36" w:rsidP="00B139BA">
            <w:pPr>
              <w:pStyle w:val="ListParagraph"/>
              <w:numPr>
                <w:ilvl w:val="0"/>
                <w:numId w:val="1"/>
              </w:numPr>
              <w:ind w:left="385" w:hanging="284"/>
              <w:rPr>
                <w:u w:val="single"/>
              </w:rPr>
            </w:pPr>
            <w:r w:rsidRPr="00B139BA">
              <w:rPr>
                <w:u w:val="single"/>
              </w:rPr>
              <w:t xml:space="preserve">Where a zero-carbon heat supply has been shown to be </w:t>
            </w:r>
            <w:r>
              <w:rPr>
                <w:u w:val="single"/>
              </w:rPr>
              <w:t xml:space="preserve">unfeasible or </w:t>
            </w:r>
            <w:r w:rsidRPr="00B139BA">
              <w:rPr>
                <w:u w:val="single"/>
              </w:rPr>
              <w:t xml:space="preserve">unviable, local </w:t>
            </w:r>
            <w:r w:rsidRPr="00EB6199">
              <w:rPr>
                <w:u w:val="single"/>
              </w:rPr>
              <w:t>ambient or secondary low carbon heat sources (in conjunction with</w:t>
            </w:r>
            <w:r w:rsidRPr="00B139BA">
              <w:rPr>
                <w:u w:val="single"/>
              </w:rPr>
              <w:t xml:space="preserve"> </w:t>
            </w:r>
            <w:r w:rsidRPr="00EB6199">
              <w:rPr>
                <w:u w:val="single"/>
              </w:rPr>
              <w:t>electrically powered heat pumps** if necessary) may be used.</w:t>
            </w:r>
          </w:p>
          <w:p w14:paraId="7F14A467" w14:textId="107B58AD" w:rsidR="00023B36" w:rsidRDefault="00023B36" w:rsidP="00B139BA">
            <w:pPr>
              <w:pStyle w:val="ListParagraph"/>
              <w:numPr>
                <w:ilvl w:val="0"/>
                <w:numId w:val="1"/>
              </w:numPr>
              <w:ind w:left="385" w:hanging="284"/>
              <w:rPr>
                <w:u w:val="single"/>
              </w:rPr>
            </w:pPr>
            <w:r w:rsidRPr="00B139BA">
              <w:rPr>
                <w:u w:val="single"/>
              </w:rPr>
              <w:t xml:space="preserve">In areas identified as having high potential for heat networks, or where a </w:t>
            </w:r>
            <w:r w:rsidRPr="00EB6199">
              <w:rPr>
                <w:u w:val="single"/>
              </w:rPr>
              <w:t>local heat network is planned but not yet in existence, or connection is not</w:t>
            </w:r>
            <w:r w:rsidRPr="00B139BA">
              <w:rPr>
                <w:u w:val="single"/>
              </w:rPr>
              <w:t xml:space="preserve"> </w:t>
            </w:r>
            <w:r w:rsidRPr="00EB6199">
              <w:rPr>
                <w:u w:val="single"/>
              </w:rPr>
              <w:t xml:space="preserve">currently viable but may become viable in the </w:t>
            </w:r>
            <w:r w:rsidRPr="00EB6199">
              <w:rPr>
                <w:u w:val="single"/>
              </w:rPr>
              <w:lastRenderedPageBreak/>
              <w:t>future, the development</w:t>
            </w:r>
            <w:r w:rsidRPr="00B139BA">
              <w:rPr>
                <w:u w:val="single"/>
              </w:rPr>
              <w:t xml:space="preserve"> </w:t>
            </w:r>
            <w:r w:rsidRPr="00EB6199">
              <w:rPr>
                <w:u w:val="single"/>
              </w:rPr>
              <w:t>should be designed to allow for cost-effective connection. In this case the</w:t>
            </w:r>
            <w:r w:rsidRPr="00B139BA">
              <w:rPr>
                <w:u w:val="single"/>
              </w:rPr>
              <w:t xml:space="preserve"> </w:t>
            </w:r>
            <w:r w:rsidRPr="00EB6199">
              <w:rPr>
                <w:u w:val="single"/>
              </w:rPr>
              <w:t>heat should be supplied according to step 3 of the above hierarchy.</w:t>
            </w:r>
          </w:p>
          <w:p w14:paraId="28EEE671" w14:textId="77777777" w:rsidR="00023B36" w:rsidRPr="00770C6A" w:rsidRDefault="00023B36" w:rsidP="00770C6A">
            <w:pPr>
              <w:rPr>
                <w:u w:val="single"/>
              </w:rPr>
            </w:pPr>
            <w:r w:rsidRPr="00770C6A">
              <w:rPr>
                <w:u w:val="single"/>
              </w:rPr>
              <w:t>All development will be built in accordance with the approved plans, and the Sustainable Construction Checklist and Energy Statement.</w:t>
            </w:r>
          </w:p>
          <w:p w14:paraId="55F3F04A" w14:textId="31A53BCC" w:rsidR="00023B36" w:rsidRPr="00EB6199" w:rsidRDefault="00023B36" w:rsidP="00B139BA">
            <w:pPr>
              <w:rPr>
                <w:u w:val="single"/>
              </w:rPr>
            </w:pPr>
            <w:r w:rsidRPr="00EB6199">
              <w:rPr>
                <w:u w:val="single"/>
              </w:rPr>
              <w:t xml:space="preserve">* </w:t>
            </w:r>
            <w:proofErr w:type="gramStart"/>
            <w:r w:rsidRPr="00EB6199">
              <w:rPr>
                <w:u w:val="single"/>
              </w:rPr>
              <w:t>for</w:t>
            </w:r>
            <w:proofErr w:type="gramEnd"/>
            <w:r w:rsidRPr="00EB6199">
              <w:rPr>
                <w:u w:val="single"/>
              </w:rPr>
              <w:t xml:space="preserve"> example, Passive House standard</w:t>
            </w:r>
          </w:p>
          <w:p w14:paraId="5227FA29" w14:textId="6720B996" w:rsidR="00023B36" w:rsidRPr="00EB6199" w:rsidRDefault="00023B36" w:rsidP="00B139BA">
            <w:r w:rsidRPr="00EB6199">
              <w:rPr>
                <w:u w:val="single"/>
              </w:rPr>
              <w:t>**electrically powered heat pumps are assumed to become zero-carbon when grid</w:t>
            </w:r>
            <w:r w:rsidRPr="00B139BA">
              <w:rPr>
                <w:u w:val="single"/>
              </w:rPr>
              <w:t xml:space="preserve"> decarbonises.</w:t>
            </w:r>
          </w:p>
        </w:tc>
        <w:tc>
          <w:tcPr>
            <w:tcW w:w="4380" w:type="dxa"/>
          </w:tcPr>
          <w:p w14:paraId="62B4DC7F" w14:textId="48A81E42" w:rsidR="00023B36" w:rsidRPr="00755B89" w:rsidRDefault="00023B36" w:rsidP="00B139BA">
            <w:pPr>
              <w:rPr>
                <w:highlight w:val="yellow"/>
              </w:rPr>
            </w:pPr>
            <w:r w:rsidRPr="000052C7">
              <w:lastRenderedPageBreak/>
              <w:t>Amendment to policy set out in Matter 10a statement.</w:t>
            </w:r>
          </w:p>
        </w:tc>
        <w:tc>
          <w:tcPr>
            <w:tcW w:w="1699" w:type="dxa"/>
          </w:tcPr>
          <w:p w14:paraId="5D5A2D51" w14:textId="617F709F" w:rsidR="00023B36" w:rsidRPr="00755B89" w:rsidRDefault="00023B36" w:rsidP="00B139BA">
            <w:pPr>
              <w:rPr>
                <w:highlight w:val="yellow"/>
              </w:rPr>
            </w:pPr>
            <w:r w:rsidRPr="000052C7">
              <w:t>Completed.</w:t>
            </w:r>
          </w:p>
        </w:tc>
      </w:tr>
      <w:tr w:rsidR="00023B36" w14:paraId="52DA4D4A" w14:textId="77777777" w:rsidTr="00023B36">
        <w:tc>
          <w:tcPr>
            <w:tcW w:w="1485" w:type="dxa"/>
          </w:tcPr>
          <w:p w14:paraId="152F7ABD" w14:textId="1402910C" w:rsidR="00023B36" w:rsidRPr="00920456" w:rsidRDefault="00023B36" w:rsidP="001E4DC4">
            <w:r w:rsidRPr="00920456">
              <w:t>Matter 10a</w:t>
            </w:r>
          </w:p>
        </w:tc>
        <w:tc>
          <w:tcPr>
            <w:tcW w:w="829" w:type="dxa"/>
          </w:tcPr>
          <w:p w14:paraId="532FDBB8" w14:textId="3EE65E54" w:rsidR="00023B36" w:rsidRDefault="00023B36" w:rsidP="001E4DC4">
            <w:r>
              <w:t>MD17</w:t>
            </w:r>
          </w:p>
        </w:tc>
        <w:tc>
          <w:tcPr>
            <w:tcW w:w="9532" w:type="dxa"/>
          </w:tcPr>
          <w:p w14:paraId="686EA1E9" w14:textId="77777777" w:rsidR="00023B36" w:rsidRPr="00A06200" w:rsidRDefault="00023B36" w:rsidP="00A06200">
            <w:r w:rsidRPr="00A06200">
              <w:t>Para 6.31</w:t>
            </w:r>
          </w:p>
          <w:p w14:paraId="7746539D" w14:textId="77777777" w:rsidR="00023B36" w:rsidRPr="00A06200" w:rsidRDefault="00023B36" w:rsidP="00A06200">
            <w:pPr>
              <w:rPr>
                <w:u w:val="single"/>
              </w:rPr>
            </w:pPr>
            <w:r w:rsidRPr="00A06200">
              <w:rPr>
                <w:lang w:val="en"/>
              </w:rPr>
              <w:t xml:space="preserve">Healthy soil is </w:t>
            </w:r>
            <w:r w:rsidRPr="00A06200">
              <w:rPr>
                <w:bCs/>
                <w:lang w:val="en"/>
              </w:rPr>
              <w:t>fundamental to Britain’s farming system</w:t>
            </w:r>
            <w:r w:rsidRPr="00A06200">
              <w:rPr>
                <w:lang w:val="en"/>
              </w:rPr>
              <w:t xml:space="preserve"> and to producing the food we eat. It provides the means for plants to grow, which also helps to create the oxygen we breathe and clean the water we drink. </w:t>
            </w:r>
            <w:r w:rsidRPr="00A06200">
              <w:t>British farmers work hard to protect and maintain healthy soils. Without fertile soils, farmers would not be able to grow crops productively, or support their livestock effectively. Soil can also increase our resilience to climate change, by storing carbon, locking in greenhouse gases that would otherwise be released into the atmosphere, and helping to prevent flooding.</w:t>
            </w:r>
            <w:r w:rsidRPr="00A06200">
              <w:rPr>
                <w:lang w:val="en"/>
              </w:rPr>
              <w:t xml:space="preserve"> Soil health can be defined as a soil's ability to function and sustain plants, </w:t>
            </w:r>
            <w:proofErr w:type="gramStart"/>
            <w:r w:rsidRPr="00A06200">
              <w:rPr>
                <w:lang w:val="en"/>
              </w:rPr>
              <w:t>animals</w:t>
            </w:r>
            <w:proofErr w:type="gramEnd"/>
            <w:r w:rsidRPr="00A06200">
              <w:rPr>
                <w:lang w:val="en"/>
              </w:rPr>
              <w:t xml:space="preserve"> and humans as part of the ecosystem. High quality agricultural land (grades 1,2 and 3a) is therefore an </w:t>
            </w:r>
            <w:r w:rsidRPr="00A06200">
              <w:rPr>
                <w:bCs/>
                <w:lang w:val="en"/>
              </w:rPr>
              <w:t>important resource</w:t>
            </w:r>
            <w:r w:rsidRPr="00A06200">
              <w:rPr>
                <w:lang w:val="en"/>
              </w:rPr>
              <w:t xml:space="preserve">. Once developed, even for other open space uses, the return to viable agricultural use is rarely feasible. It is important to protect, as far as practicable, the best and most versatile agricultural land from development. </w:t>
            </w:r>
            <w:r w:rsidRPr="00A06200">
              <w:rPr>
                <w:u w:val="single"/>
              </w:rPr>
              <w:t>Developers should refer to the Natural England guidance “</w:t>
            </w:r>
            <w:r w:rsidRPr="00A06200">
              <w:rPr>
                <w:b/>
                <w:bCs/>
                <w:u w:val="single"/>
              </w:rPr>
              <w:t>Guide to assessing development proposals on agricultural land”</w:t>
            </w:r>
            <w:r w:rsidRPr="00A06200">
              <w:rPr>
                <w:u w:val="single"/>
              </w:rPr>
              <w:t xml:space="preserve"> when considering development proposals that affect agricultural land and soils. The guidance aims to protect:</w:t>
            </w:r>
          </w:p>
          <w:p w14:paraId="6002A46C" w14:textId="77777777" w:rsidR="00023B36" w:rsidRPr="00A06200" w:rsidRDefault="00023B36" w:rsidP="00A06200">
            <w:pPr>
              <w:numPr>
                <w:ilvl w:val="0"/>
                <w:numId w:val="11"/>
              </w:numPr>
              <w:rPr>
                <w:u w:val="single"/>
              </w:rPr>
            </w:pPr>
            <w:r w:rsidRPr="00A06200">
              <w:rPr>
                <w:u w:val="single"/>
              </w:rPr>
              <w:t xml:space="preserve">the best and most versatile (BMV) agricultural land from significant, </w:t>
            </w:r>
            <w:proofErr w:type="gramStart"/>
            <w:r w:rsidRPr="00A06200">
              <w:rPr>
                <w:u w:val="single"/>
              </w:rPr>
              <w:t>inappropriate</w:t>
            </w:r>
            <w:proofErr w:type="gramEnd"/>
            <w:r w:rsidRPr="00A06200">
              <w:rPr>
                <w:u w:val="single"/>
              </w:rPr>
              <w:t xml:space="preserve"> or unsustainable development proposals</w:t>
            </w:r>
          </w:p>
          <w:p w14:paraId="606A9CC6" w14:textId="77777777" w:rsidR="00023B36" w:rsidRPr="00A06200" w:rsidRDefault="00023B36" w:rsidP="00A06200">
            <w:pPr>
              <w:numPr>
                <w:ilvl w:val="0"/>
                <w:numId w:val="11"/>
              </w:numPr>
              <w:rPr>
                <w:u w:val="single"/>
              </w:rPr>
            </w:pPr>
            <w:r w:rsidRPr="00A06200">
              <w:rPr>
                <w:u w:val="single"/>
              </w:rPr>
              <w:t xml:space="preserve">soils by managing them in a sustainable </w:t>
            </w:r>
            <w:proofErr w:type="gramStart"/>
            <w:r w:rsidRPr="00A06200">
              <w:rPr>
                <w:u w:val="single"/>
              </w:rPr>
              <w:t>way</w:t>
            </w:r>
            <w:proofErr w:type="gramEnd"/>
          </w:p>
          <w:p w14:paraId="59846F4A" w14:textId="5C9F5AE3" w:rsidR="00023B36" w:rsidRPr="00920456" w:rsidRDefault="00023B36" w:rsidP="001E4DC4"/>
        </w:tc>
        <w:tc>
          <w:tcPr>
            <w:tcW w:w="4380" w:type="dxa"/>
          </w:tcPr>
          <w:p w14:paraId="48AE406D" w14:textId="55025436" w:rsidR="00023B36" w:rsidRPr="00920456" w:rsidRDefault="00023B36" w:rsidP="001E4DC4">
            <w:r w:rsidRPr="00920456">
              <w:t>Refer to Defra’s Construction Code of Practice for the Sustainable Use of Soils on Construction Sites, to assist the construction sector in the better protection of the soil resources with which they work, and in doing so minimise the risk of environmental harm such as excessive run-off and flooding. The aim is to achieve positive outcomes such as cost savings, successful landscaping and enhanced amenity whilst maintaining a healthy natural environment, and we would advise that the Code be referred to where relevant in the development plan. (NE Reg.19)</w:t>
            </w:r>
          </w:p>
        </w:tc>
        <w:tc>
          <w:tcPr>
            <w:tcW w:w="1699" w:type="dxa"/>
          </w:tcPr>
          <w:p w14:paraId="3E941AF0" w14:textId="295A1A38" w:rsidR="00023B36" w:rsidRPr="00920456" w:rsidRDefault="00023B36" w:rsidP="001E4DC4">
            <w:r>
              <w:t xml:space="preserve">Completed </w:t>
            </w:r>
          </w:p>
        </w:tc>
      </w:tr>
      <w:tr w:rsidR="00023B36" w14:paraId="1A810B76" w14:textId="06DC67B2" w:rsidTr="00023B36">
        <w:tc>
          <w:tcPr>
            <w:tcW w:w="1485" w:type="dxa"/>
          </w:tcPr>
          <w:p w14:paraId="5E5F9340" w14:textId="20F56E91" w:rsidR="00023B36" w:rsidRPr="001F3687" w:rsidRDefault="00023B36" w:rsidP="001E4DC4">
            <w:r w:rsidRPr="001F3687">
              <w:t xml:space="preserve">Matter 10a </w:t>
            </w:r>
          </w:p>
        </w:tc>
        <w:tc>
          <w:tcPr>
            <w:tcW w:w="829" w:type="dxa"/>
          </w:tcPr>
          <w:p w14:paraId="043FAD51" w14:textId="13BA35A6" w:rsidR="00023B36" w:rsidRPr="001F3687" w:rsidRDefault="00023B36" w:rsidP="001E4DC4">
            <w:r>
              <w:t>MD18</w:t>
            </w:r>
          </w:p>
        </w:tc>
        <w:tc>
          <w:tcPr>
            <w:tcW w:w="9532" w:type="dxa"/>
          </w:tcPr>
          <w:p w14:paraId="2BA5A971" w14:textId="6E0D032C" w:rsidR="00023B36" w:rsidRPr="001F3687" w:rsidRDefault="00023B36" w:rsidP="001E4DC4">
            <w:r w:rsidRPr="001F3687">
              <w:t>Delivery Policy ES4</w:t>
            </w:r>
          </w:p>
          <w:p w14:paraId="639B42F0" w14:textId="4EAF95CE" w:rsidR="00023B36" w:rsidRPr="001F3687" w:rsidRDefault="00023B36" w:rsidP="001E4DC4">
            <w:r w:rsidRPr="001F3687">
              <w:t xml:space="preserve">Water resources, </w:t>
            </w:r>
            <w:proofErr w:type="gramStart"/>
            <w:r w:rsidRPr="001F3687">
              <w:t>quality</w:t>
            </w:r>
            <w:proofErr w:type="gramEnd"/>
            <w:r w:rsidRPr="001F3687">
              <w:t xml:space="preserve"> and flood risk</w:t>
            </w:r>
          </w:p>
          <w:p w14:paraId="4112D8ED" w14:textId="0B18D4D1" w:rsidR="00023B36" w:rsidRPr="001F3687" w:rsidRDefault="00023B36" w:rsidP="001E4DC4"/>
          <w:p w14:paraId="52A90BCC" w14:textId="55FCB596" w:rsidR="00023B36" w:rsidRPr="001F3687" w:rsidRDefault="00023B36" w:rsidP="001E4DC4">
            <w:r w:rsidRPr="001F3687">
              <w:t>Fourth paragraph:</w:t>
            </w:r>
          </w:p>
          <w:p w14:paraId="13A0EE59" w14:textId="67BCF8A3" w:rsidR="00023B36" w:rsidRPr="00755B89" w:rsidRDefault="00023B36" w:rsidP="001E4DC4">
            <w:pPr>
              <w:rPr>
                <w:highlight w:val="yellow"/>
              </w:rPr>
            </w:pPr>
            <w:r w:rsidRPr="001F3687">
              <w:t>“</w:t>
            </w:r>
            <w:proofErr w:type="gramStart"/>
            <w:r w:rsidRPr="001F3687">
              <w:t>….development</w:t>
            </w:r>
            <w:proofErr w:type="gramEnd"/>
            <w:r w:rsidRPr="001F3687">
              <w:t xml:space="preserve"> of future flood alleviation projects and/or provision of </w:t>
            </w:r>
            <w:r w:rsidRPr="001F3687">
              <w:rPr>
                <w:strike/>
              </w:rPr>
              <w:t>upstream</w:t>
            </w:r>
            <w:r w:rsidRPr="001F3687">
              <w:t xml:space="preserve"> rural SUDS projects.</w:t>
            </w:r>
            <w:r>
              <w:t>”</w:t>
            </w:r>
          </w:p>
        </w:tc>
        <w:tc>
          <w:tcPr>
            <w:tcW w:w="4380" w:type="dxa"/>
          </w:tcPr>
          <w:p w14:paraId="1FE4759F" w14:textId="38954D24" w:rsidR="00023B36" w:rsidRPr="001F3687" w:rsidRDefault="00023B36" w:rsidP="001E4DC4">
            <w:r>
              <w:t>Take</w:t>
            </w:r>
            <w:r w:rsidRPr="001F3687">
              <w:t xml:space="preserve"> out ‘upstream’</w:t>
            </w:r>
            <w:r>
              <w:t>, as downstream projects may also be possible.</w:t>
            </w:r>
          </w:p>
        </w:tc>
        <w:tc>
          <w:tcPr>
            <w:tcW w:w="1699" w:type="dxa"/>
          </w:tcPr>
          <w:p w14:paraId="5082D913" w14:textId="7F404919" w:rsidR="00023B36" w:rsidRPr="001F3687" w:rsidRDefault="00023B36" w:rsidP="001E4DC4">
            <w:r w:rsidRPr="001F3687">
              <w:t>Completed</w:t>
            </w:r>
          </w:p>
        </w:tc>
      </w:tr>
      <w:tr w:rsidR="00023B36" w14:paraId="36E8D25D" w14:textId="77777777" w:rsidTr="00023B36">
        <w:tc>
          <w:tcPr>
            <w:tcW w:w="1485" w:type="dxa"/>
          </w:tcPr>
          <w:p w14:paraId="188BB740" w14:textId="1BF882C2" w:rsidR="00023B36" w:rsidRPr="009E0B33" w:rsidRDefault="00023B36" w:rsidP="00991DC8">
            <w:r>
              <w:t>Matter 10c</w:t>
            </w:r>
          </w:p>
        </w:tc>
        <w:tc>
          <w:tcPr>
            <w:tcW w:w="829" w:type="dxa"/>
          </w:tcPr>
          <w:p w14:paraId="1020F20A" w14:textId="1BA0065D" w:rsidR="00023B36" w:rsidRPr="009E0B33" w:rsidRDefault="00023B36" w:rsidP="00991DC8">
            <w:r>
              <w:t>MD19</w:t>
            </w:r>
          </w:p>
        </w:tc>
        <w:tc>
          <w:tcPr>
            <w:tcW w:w="9532" w:type="dxa"/>
          </w:tcPr>
          <w:p w14:paraId="02F2E010" w14:textId="19E8B97F" w:rsidR="00023B36" w:rsidRDefault="00023B36" w:rsidP="00991DC8">
            <w:r w:rsidRPr="009E0B33">
              <w:t xml:space="preserve">Delivery Policy ES6 Providing for biodiversity and </w:t>
            </w:r>
            <w:proofErr w:type="gramStart"/>
            <w:r w:rsidRPr="009E0B33">
              <w:t>geodiversity</w:t>
            </w:r>
            <w:proofErr w:type="gramEnd"/>
          </w:p>
          <w:p w14:paraId="6FEB4011" w14:textId="77777777" w:rsidR="00023B36" w:rsidRDefault="00023B36" w:rsidP="00991DC8"/>
          <w:p w14:paraId="4F7FE1D8" w14:textId="4DBF1C8C" w:rsidR="00023B36" w:rsidRPr="004805AF" w:rsidRDefault="00023B36" w:rsidP="004805AF">
            <w:pPr>
              <w:rPr>
                <w:strike/>
              </w:rPr>
            </w:pPr>
            <w:r>
              <w:t>“</w:t>
            </w:r>
            <w:r w:rsidRPr="004805AF">
              <w:t xml:space="preserve">a. There </w:t>
            </w:r>
            <w:r w:rsidRPr="004805AF">
              <w:rPr>
                <w:strike/>
              </w:rPr>
              <w:t>is</w:t>
            </w:r>
            <w:r w:rsidRPr="004805AF">
              <w:t xml:space="preserve"> </w:t>
            </w:r>
            <w:r w:rsidRPr="004805AF">
              <w:rPr>
                <w:u w:val="single"/>
              </w:rPr>
              <w:t xml:space="preserve">are </w:t>
            </w:r>
            <w:r w:rsidRPr="004805AF">
              <w:t>no suitable alternative</w:t>
            </w:r>
            <w:r>
              <w:t xml:space="preserve"> </w:t>
            </w:r>
            <w:r w:rsidRPr="004805AF">
              <w:rPr>
                <w:u w:val="single"/>
              </w:rPr>
              <w:t>solutions</w:t>
            </w:r>
            <w:r w:rsidRPr="004805AF">
              <w:t xml:space="preserve"> </w:t>
            </w:r>
            <w:r w:rsidRPr="004805AF">
              <w:rPr>
                <w:strike/>
              </w:rPr>
              <w:t xml:space="preserve">to the </w:t>
            </w:r>
            <w:proofErr w:type="gramStart"/>
            <w:r w:rsidRPr="004805AF">
              <w:rPr>
                <w:strike/>
              </w:rPr>
              <w:t xml:space="preserve">development </w:t>
            </w:r>
            <w:r w:rsidRPr="004805AF">
              <w:t>;</w:t>
            </w:r>
            <w:proofErr w:type="gramEnd"/>
            <w:r w:rsidRPr="004805AF">
              <w:t xml:space="preserve"> and</w:t>
            </w:r>
            <w:r>
              <w:t>…..</w:t>
            </w:r>
          </w:p>
          <w:p w14:paraId="0D0B5094" w14:textId="6BA8E6CE" w:rsidR="00023B36" w:rsidRDefault="00023B36" w:rsidP="004805AF">
            <w:r w:rsidRPr="004805AF">
              <w:t>c. Appropriate compensatory provision can be secured to ensure that the</w:t>
            </w:r>
            <w:r>
              <w:t xml:space="preserve"> </w:t>
            </w:r>
            <w:r w:rsidRPr="004805AF">
              <w:t xml:space="preserve">overall coherence of the </w:t>
            </w:r>
            <w:r w:rsidRPr="004805AF">
              <w:rPr>
                <w:strike/>
              </w:rPr>
              <w:t>site(s)</w:t>
            </w:r>
            <w:r w:rsidRPr="004805AF">
              <w:t xml:space="preserve"> </w:t>
            </w:r>
            <w:r w:rsidRPr="004805AF">
              <w:rPr>
                <w:u w:val="single"/>
              </w:rPr>
              <w:t>National Site Network</w:t>
            </w:r>
            <w:r w:rsidRPr="004805AF">
              <w:t xml:space="preserve"> is protected and</w:t>
            </w:r>
            <w:r>
              <w:t xml:space="preserve"> </w:t>
            </w:r>
            <w:r w:rsidRPr="004805AF">
              <w:t>enhanced.</w:t>
            </w:r>
            <w:r>
              <w:t>”</w:t>
            </w:r>
          </w:p>
          <w:p w14:paraId="4301C1D4" w14:textId="2F05D00D" w:rsidR="00023B36" w:rsidRPr="009E0B33" w:rsidRDefault="00023B36" w:rsidP="00991DC8"/>
        </w:tc>
        <w:tc>
          <w:tcPr>
            <w:tcW w:w="4380" w:type="dxa"/>
          </w:tcPr>
          <w:p w14:paraId="3575C8F8" w14:textId="105C1B5F" w:rsidR="00023B36" w:rsidRPr="009E0B33" w:rsidRDefault="00023B36" w:rsidP="009E0B33">
            <w:r>
              <w:t>To reflect Natural England requirements, as set out in the Matters Statement.</w:t>
            </w:r>
          </w:p>
        </w:tc>
        <w:tc>
          <w:tcPr>
            <w:tcW w:w="1699" w:type="dxa"/>
          </w:tcPr>
          <w:p w14:paraId="0C7D1DB1" w14:textId="7F63DE13" w:rsidR="00023B36" w:rsidRPr="009E0B33" w:rsidRDefault="00023B36" w:rsidP="00991DC8">
            <w:r>
              <w:t>Completed</w:t>
            </w:r>
          </w:p>
        </w:tc>
      </w:tr>
      <w:tr w:rsidR="00023B36" w14:paraId="47D418AB" w14:textId="77777777" w:rsidTr="00023B36">
        <w:tc>
          <w:tcPr>
            <w:tcW w:w="1485" w:type="dxa"/>
          </w:tcPr>
          <w:p w14:paraId="108C5E9B" w14:textId="55739547" w:rsidR="00023B36" w:rsidRPr="009E0B33" w:rsidRDefault="00023B36" w:rsidP="0036083C">
            <w:r>
              <w:t xml:space="preserve">Matter 10c </w:t>
            </w:r>
          </w:p>
        </w:tc>
        <w:tc>
          <w:tcPr>
            <w:tcW w:w="829" w:type="dxa"/>
          </w:tcPr>
          <w:p w14:paraId="16B23D12" w14:textId="75B87FCE" w:rsidR="00023B36" w:rsidRDefault="00023B36" w:rsidP="0036083C">
            <w:r>
              <w:t>MD20</w:t>
            </w:r>
          </w:p>
        </w:tc>
        <w:tc>
          <w:tcPr>
            <w:tcW w:w="9532" w:type="dxa"/>
          </w:tcPr>
          <w:p w14:paraId="33BBA7DA" w14:textId="4CC8B7D5" w:rsidR="00840F4B" w:rsidRDefault="00840F4B" w:rsidP="0036083C">
            <w:r>
              <w:t>Reviewed Policy compliance with the NPPF and suggest one word change to Policy ES6</w:t>
            </w:r>
            <w:r w:rsidR="002B27EF">
              <w:t xml:space="preserve"> </w:t>
            </w:r>
          </w:p>
          <w:p w14:paraId="7A05A855" w14:textId="77777777" w:rsidR="00840F4B" w:rsidRDefault="00840F4B" w:rsidP="0036083C"/>
          <w:p w14:paraId="74161EF2" w14:textId="412315BC" w:rsidR="00023B36" w:rsidRPr="0037026B" w:rsidRDefault="00840F4B" w:rsidP="0036083C">
            <w:pPr>
              <w:rPr>
                <w:highlight w:val="yellow"/>
              </w:rPr>
            </w:pPr>
            <w:r w:rsidRPr="00840F4B">
              <w:t xml:space="preserve">Development that will adversely affect the following designations shall not be considered sustainable development and will not </w:t>
            </w:r>
            <w:r w:rsidRPr="00840F4B">
              <w:rPr>
                <w:u w:val="single"/>
              </w:rPr>
              <w:t>normally</w:t>
            </w:r>
            <w:r w:rsidRPr="00840F4B">
              <w:t xml:space="preserve"> be permitted:</w:t>
            </w:r>
          </w:p>
        </w:tc>
        <w:tc>
          <w:tcPr>
            <w:tcW w:w="4380" w:type="dxa"/>
          </w:tcPr>
          <w:p w14:paraId="0FAE246D" w14:textId="2EBFFDF5" w:rsidR="00023B36" w:rsidRPr="002B27EF" w:rsidRDefault="00023B36" w:rsidP="0036083C">
            <w:r w:rsidRPr="002B27EF">
              <w:t>Need to check ES6 is consistent with NPPF para. 180. For example, ES6 says “Development that will adversely affect the following designations shall not be considered sustainable development and will not be permitted.” However, NPPF para.180 says “not normally be permitted”. If there are changes, will also need to consider the wording for local sites (given the hierarchy).</w:t>
            </w:r>
          </w:p>
        </w:tc>
        <w:tc>
          <w:tcPr>
            <w:tcW w:w="1699" w:type="dxa"/>
          </w:tcPr>
          <w:p w14:paraId="0029349D" w14:textId="0C6EAF7E" w:rsidR="00023B36" w:rsidRPr="002B27EF" w:rsidRDefault="002B27EF" w:rsidP="0036083C">
            <w:r>
              <w:t>Completed</w:t>
            </w:r>
          </w:p>
        </w:tc>
      </w:tr>
      <w:tr w:rsidR="00023B36" w14:paraId="68809E74" w14:textId="46CE9DB2" w:rsidTr="00023B36">
        <w:tc>
          <w:tcPr>
            <w:tcW w:w="1485" w:type="dxa"/>
          </w:tcPr>
          <w:p w14:paraId="63A17845" w14:textId="427D6438" w:rsidR="00023B36" w:rsidRPr="009E0B33" w:rsidRDefault="00023B36" w:rsidP="00991DC8">
            <w:r w:rsidRPr="009E0B33">
              <w:t>Matter 10c</w:t>
            </w:r>
          </w:p>
        </w:tc>
        <w:tc>
          <w:tcPr>
            <w:tcW w:w="829" w:type="dxa"/>
          </w:tcPr>
          <w:p w14:paraId="2417E5E3" w14:textId="3B98627D" w:rsidR="00023B36" w:rsidRPr="009E0B33" w:rsidRDefault="00023B36" w:rsidP="00991DC8">
            <w:r>
              <w:t>MD21</w:t>
            </w:r>
          </w:p>
        </w:tc>
        <w:tc>
          <w:tcPr>
            <w:tcW w:w="9532" w:type="dxa"/>
          </w:tcPr>
          <w:p w14:paraId="20D67B31" w14:textId="2C4E9342" w:rsidR="0038599F" w:rsidRDefault="0038599F" w:rsidP="00991DC8">
            <w:r w:rsidRPr="0038599F">
              <w:t>para 6.49</w:t>
            </w:r>
          </w:p>
          <w:p w14:paraId="52DAB495" w14:textId="77777777" w:rsidR="0038599F" w:rsidRDefault="0038599F" w:rsidP="00991DC8"/>
          <w:p w14:paraId="19263AAF" w14:textId="4EF0DB2C" w:rsidR="0038599F" w:rsidRPr="0038599F" w:rsidRDefault="0038599F" w:rsidP="0038599F">
            <w:r w:rsidRPr="0038599F">
              <w:rPr>
                <w:b/>
                <w:bCs/>
                <w:u w:val="single"/>
              </w:rPr>
              <w:t>Biodiversity Net Gain (BNG)</w:t>
            </w:r>
            <w:r w:rsidRPr="0038599F">
              <w:rPr>
                <w:u w:val="single"/>
              </w:rPr>
              <w:t xml:space="preserve"> is a way to contribute to the recovery of nature while developing land in a measurable way. It is making sure the habitat for wildlife is in a better state than it was before development. This will apply from November 2023 for developments in the Town and Country Planning Act 1990, unless exempt. It will apply to small sites from April 2024. There would be a </w:t>
            </w:r>
            <w:proofErr w:type="gramStart"/>
            <w:r w:rsidRPr="0038599F">
              <w:rPr>
                <w:u w:val="single"/>
              </w:rPr>
              <w:t>2 year</w:t>
            </w:r>
            <w:proofErr w:type="gramEnd"/>
            <w:r w:rsidRPr="0038599F">
              <w:rPr>
                <w:u w:val="single"/>
              </w:rPr>
              <w:t xml:space="preserve"> transition and implementation period for mandatory BNG with the Environment Bill receiving Royal Assent and </w:t>
            </w:r>
            <w:r w:rsidRPr="0038599F">
              <w:rPr>
                <w:u w:val="single"/>
              </w:rPr>
              <w:lastRenderedPageBreak/>
              <w:t>became the Act (which happened on 9 November 2021). The Act includes provision for secondary legislation to set a date for the requirement to come into force</w:t>
            </w:r>
            <w:r w:rsidRPr="0038599F">
              <w:t xml:space="preserve">. Mechanisms for delivering </w:t>
            </w:r>
            <w:r w:rsidRPr="0038599F">
              <w:rPr>
                <w:b/>
              </w:rPr>
              <w:t xml:space="preserve">Biodiversity </w:t>
            </w:r>
            <w:r w:rsidRPr="0038599F">
              <w:rPr>
                <w:u w:val="single"/>
              </w:rPr>
              <w:t>BNG</w:t>
            </w:r>
            <w:r w:rsidRPr="0038599F">
              <w:t xml:space="preserve"> can be on site, off site, in full or combination. Onsite can be delivered using habitat creation/enhancement via landscaping/green infrastructure. Offsite can be delivered through habitat creation/enhancement on land holdings or via habitat banks. The mitigation hierarchy is also applied and some irreplaceable habitats such as ancient woodland will not be eligible for offsetting. Existing mechanisms for protecting ecology will remain in place and BNG will not apply at SSSI’s.</w:t>
            </w:r>
          </w:p>
          <w:p w14:paraId="5D3A8582" w14:textId="5D7409EA" w:rsidR="00023B36" w:rsidRPr="0037026B" w:rsidRDefault="00023B36" w:rsidP="00991DC8">
            <w:pPr>
              <w:rPr>
                <w:highlight w:val="yellow"/>
              </w:rPr>
            </w:pPr>
          </w:p>
        </w:tc>
        <w:tc>
          <w:tcPr>
            <w:tcW w:w="4380" w:type="dxa"/>
          </w:tcPr>
          <w:p w14:paraId="2920C05E" w14:textId="2C1416CA" w:rsidR="00023B36" w:rsidRPr="0037026B" w:rsidRDefault="00023B36" w:rsidP="009E0B33">
            <w:pPr>
              <w:rPr>
                <w:highlight w:val="yellow"/>
              </w:rPr>
            </w:pPr>
            <w:r w:rsidRPr="0038599F">
              <w:lastRenderedPageBreak/>
              <w:t>Consider updating supporting text to reflect the Act – (transitional period/possible exemptions) (this could be an additional modification not a main modification.)</w:t>
            </w:r>
          </w:p>
        </w:tc>
        <w:tc>
          <w:tcPr>
            <w:tcW w:w="1699" w:type="dxa"/>
          </w:tcPr>
          <w:p w14:paraId="7F848FCD" w14:textId="73A8DA78" w:rsidR="00023B36" w:rsidRPr="0037026B" w:rsidRDefault="0038599F" w:rsidP="00991DC8">
            <w:pPr>
              <w:rPr>
                <w:highlight w:val="yellow"/>
              </w:rPr>
            </w:pPr>
            <w:r w:rsidRPr="0038599F">
              <w:t>Completed</w:t>
            </w:r>
          </w:p>
        </w:tc>
      </w:tr>
      <w:tr w:rsidR="00023B36" w14:paraId="5F4DEAE7" w14:textId="1B8D9905" w:rsidTr="00023B36">
        <w:tc>
          <w:tcPr>
            <w:tcW w:w="1485" w:type="dxa"/>
          </w:tcPr>
          <w:p w14:paraId="294BACD9" w14:textId="1E7B4B28" w:rsidR="00023B36" w:rsidRPr="004C69F3" w:rsidRDefault="00023B36" w:rsidP="001E4DC4">
            <w:r w:rsidRPr="004C69F3">
              <w:t>Matter 10c</w:t>
            </w:r>
          </w:p>
        </w:tc>
        <w:tc>
          <w:tcPr>
            <w:tcW w:w="829" w:type="dxa"/>
          </w:tcPr>
          <w:p w14:paraId="42A55A83" w14:textId="5AD0E974" w:rsidR="00023B36" w:rsidRPr="00C7280B" w:rsidRDefault="00023B36" w:rsidP="001E4DC4">
            <w:r>
              <w:t>MD22</w:t>
            </w:r>
          </w:p>
        </w:tc>
        <w:tc>
          <w:tcPr>
            <w:tcW w:w="9532" w:type="dxa"/>
          </w:tcPr>
          <w:p w14:paraId="47CABB07" w14:textId="50DA564D" w:rsidR="00023B36" w:rsidRDefault="00023B36" w:rsidP="005A031C">
            <w:r w:rsidRPr="0037026B">
              <w:t>Para 6.60</w:t>
            </w:r>
          </w:p>
          <w:p w14:paraId="632DB597" w14:textId="77777777" w:rsidR="00023B36" w:rsidRDefault="00023B36" w:rsidP="005A031C"/>
          <w:p w14:paraId="716B0868" w14:textId="070AE39D" w:rsidR="00023B36" w:rsidRPr="005A031C" w:rsidRDefault="00023B36" w:rsidP="005A031C">
            <w:r w:rsidRPr="005A031C">
              <w:t xml:space="preserve">Mature trees, woodlands and hedges are sensitive to the impacts of development, either directly through their removal or indirectly through the impacts of construction. Due to the length of time and the cost taken to replace mature features, and the contribution they can make to the quality of development, they should be retained and protected where possible. Surveys and assessments carried out in accordance with recognised standards should be used to inform the design process and minimise impacts. </w:t>
            </w:r>
            <w:r w:rsidRPr="005A031C">
              <w:rPr>
                <w:u w:val="single"/>
              </w:rPr>
              <w:t>Trees identified as having local interest or value are identified as part of adopted Neighbourhood Development Plans or Parish/Community Design Statements.</w:t>
            </w:r>
            <w:r w:rsidRPr="005A031C">
              <w:t xml:space="preserve"> Where their loss is </w:t>
            </w:r>
            <w:proofErr w:type="gramStart"/>
            <w:r w:rsidRPr="005A031C">
              <w:t>unavoidable</w:t>
            </w:r>
            <w:proofErr w:type="gramEnd"/>
            <w:r w:rsidRPr="005A031C">
              <w:t xml:space="preserve"> they should be replaced with suitable new planting either within the site or in the locality if this is more appropriate. Development can make a positive contribution to the tree and hedgerow resource in the locality through new planting or the restoration and improved management of existing features. Native indigenous species planting will be encouraged where they respect and enhance the local landscape character.</w:t>
            </w:r>
          </w:p>
          <w:p w14:paraId="5732B91A" w14:textId="4310AA88" w:rsidR="00023B36" w:rsidRPr="00C7280B" w:rsidRDefault="00023B36" w:rsidP="001E4DC4"/>
        </w:tc>
        <w:tc>
          <w:tcPr>
            <w:tcW w:w="4380" w:type="dxa"/>
          </w:tcPr>
          <w:p w14:paraId="4FF40418" w14:textId="6B26D616" w:rsidR="00023B36" w:rsidRPr="00C7280B" w:rsidRDefault="00023B36" w:rsidP="001E4DC4">
            <w:r w:rsidRPr="00C7280B">
              <w:t>Define “locally valued” in supporting text. (Suggest reference NDPs and adopted SPDs)</w:t>
            </w:r>
          </w:p>
        </w:tc>
        <w:tc>
          <w:tcPr>
            <w:tcW w:w="1699" w:type="dxa"/>
          </w:tcPr>
          <w:p w14:paraId="22341DE0" w14:textId="16DA4D52" w:rsidR="00023B36" w:rsidRPr="00C7280B" w:rsidRDefault="00023B36" w:rsidP="001E4DC4">
            <w:r>
              <w:t>Completed</w:t>
            </w:r>
          </w:p>
        </w:tc>
      </w:tr>
      <w:tr w:rsidR="00023B36" w14:paraId="17650845" w14:textId="77777777" w:rsidTr="00023B36">
        <w:tc>
          <w:tcPr>
            <w:tcW w:w="1485" w:type="dxa"/>
            <w:vMerge w:val="restart"/>
          </w:tcPr>
          <w:p w14:paraId="1510A3FD" w14:textId="4D032E68" w:rsidR="00023B36" w:rsidRPr="004C69F3" w:rsidRDefault="00023B36" w:rsidP="00C34789">
            <w:bookmarkStart w:id="1" w:name="_Hlk133928674"/>
            <w:bookmarkStart w:id="2" w:name="_Hlk133928734"/>
            <w:r>
              <w:t>Matter 10c</w:t>
            </w:r>
          </w:p>
        </w:tc>
        <w:tc>
          <w:tcPr>
            <w:tcW w:w="829" w:type="dxa"/>
            <w:vMerge w:val="restart"/>
          </w:tcPr>
          <w:p w14:paraId="56409D52" w14:textId="040F2852" w:rsidR="00023B36" w:rsidRDefault="00023B36" w:rsidP="00C34789">
            <w:r>
              <w:t>MD23</w:t>
            </w:r>
          </w:p>
        </w:tc>
        <w:tc>
          <w:tcPr>
            <w:tcW w:w="9532" w:type="dxa"/>
            <w:vMerge w:val="restart"/>
          </w:tcPr>
          <w:p w14:paraId="0143BE48" w14:textId="640E472B" w:rsidR="00023B36" w:rsidRPr="00B27B4A" w:rsidRDefault="00023B36" w:rsidP="00C159A5">
            <w:pPr>
              <w:spacing w:after="120"/>
              <w:ind w:left="123"/>
            </w:pPr>
            <w:r w:rsidRPr="00B27B4A">
              <w:rPr>
                <w:b/>
                <w:bCs/>
                <w:sz w:val="28"/>
                <w:szCs w:val="28"/>
              </w:rPr>
              <w:t xml:space="preserve">Delivery Policy ES10 Valuing our historic environment and </w:t>
            </w:r>
            <w:proofErr w:type="gramStart"/>
            <w:r w:rsidRPr="00B27B4A">
              <w:rPr>
                <w:b/>
                <w:bCs/>
                <w:sz w:val="28"/>
                <w:szCs w:val="28"/>
              </w:rPr>
              <w:t>assets</w:t>
            </w:r>
            <w:proofErr w:type="gramEnd"/>
            <w:r w:rsidRPr="00B27B4A">
              <w:t xml:space="preserve"> </w:t>
            </w:r>
          </w:p>
          <w:p w14:paraId="1EE7716D" w14:textId="77777777" w:rsidR="00023B36" w:rsidRPr="00B27B4A" w:rsidRDefault="00023B36" w:rsidP="00C159A5">
            <w:pPr>
              <w:autoSpaceDE w:val="0"/>
              <w:autoSpaceDN w:val="0"/>
              <w:adjustRightInd w:val="0"/>
              <w:spacing w:after="120"/>
              <w:ind w:left="123" w:right="74"/>
              <w:rPr>
                <w:rFonts w:ascii="Calibri" w:eastAsia="Calibri" w:hAnsi="Calibri" w:cs="Times New Roman"/>
              </w:rPr>
            </w:pPr>
            <w:r w:rsidRPr="00B27B4A">
              <w:rPr>
                <w:rFonts w:ascii="Calibri" w:eastAsia="Calibri" w:hAnsi="Calibri" w:cs="Times New Roman"/>
              </w:rPr>
              <w:t xml:space="preserve">Stroud District’s historic environment will be preserved, </w:t>
            </w:r>
            <w:proofErr w:type="gramStart"/>
            <w:r w:rsidRPr="00B27B4A">
              <w:rPr>
                <w:rFonts w:ascii="Calibri" w:eastAsia="Calibri" w:hAnsi="Calibri" w:cs="Times New Roman"/>
              </w:rPr>
              <w:t>protected</w:t>
            </w:r>
            <w:proofErr w:type="gramEnd"/>
            <w:r w:rsidRPr="00B27B4A">
              <w:rPr>
                <w:rFonts w:ascii="Calibri" w:eastAsia="Calibri" w:hAnsi="Calibri" w:cs="Times New Roman"/>
              </w:rPr>
              <w:t xml:space="preserve"> or enhanced, in accordance with the principles set out below:</w:t>
            </w:r>
          </w:p>
          <w:p w14:paraId="2FF72EF4" w14:textId="77777777" w:rsidR="00023B36" w:rsidRPr="00B27B4A" w:rsidRDefault="00023B36" w:rsidP="00C34789">
            <w:pPr>
              <w:autoSpaceDE w:val="0"/>
              <w:autoSpaceDN w:val="0"/>
              <w:adjustRightInd w:val="0"/>
              <w:spacing w:before="120" w:after="120"/>
              <w:ind w:left="462" w:right="72" w:hanging="283"/>
              <w:rPr>
                <w:rFonts w:ascii="Calibri" w:eastAsia="Calibri" w:hAnsi="Calibri" w:cs="Times New Roman"/>
              </w:rPr>
            </w:pPr>
            <w:r w:rsidRPr="00B27B4A">
              <w:rPr>
                <w:rFonts w:ascii="Calibri" w:eastAsia="Calibri" w:hAnsi="Calibri" w:cs="Times New Roman"/>
              </w:rPr>
              <w:t>1.  Any proposals involving a</w:t>
            </w:r>
            <w:r w:rsidRPr="00B27B4A">
              <w:rPr>
                <w:rFonts w:ascii="Calibri" w:eastAsia="Calibri" w:hAnsi="Calibri" w:cs="Times New Roman"/>
                <w:u w:val="single"/>
              </w:rPr>
              <w:t>n</w:t>
            </w:r>
            <w:r w:rsidRPr="00B27B4A">
              <w:rPr>
                <w:rFonts w:ascii="Calibri" w:eastAsia="Calibri" w:hAnsi="Calibri" w:cs="Times New Roman"/>
              </w:rPr>
              <w:t xml:space="preserve"> historic asset shall require a </w:t>
            </w:r>
            <w:r w:rsidRPr="00B27B4A">
              <w:rPr>
                <w:rFonts w:ascii="Calibri" w:eastAsia="Calibri" w:hAnsi="Calibri" w:cs="Times New Roman"/>
                <w:u w:val="single"/>
              </w:rPr>
              <w:t>‘Heritage Statement’ comprising a</w:t>
            </w:r>
            <w:r w:rsidRPr="00B27B4A">
              <w:rPr>
                <w:rFonts w:ascii="Calibri" w:eastAsia="Calibri" w:hAnsi="Calibri" w:cs="Times New Roman"/>
              </w:rPr>
              <w:t xml:space="preserve"> description of the heritage asset’s significance, including any contribution made by its setting, and an assessment of the potential impact of the proposal on that </w:t>
            </w:r>
            <w:proofErr w:type="gramStart"/>
            <w:r w:rsidRPr="00B27B4A">
              <w:rPr>
                <w:rFonts w:ascii="Calibri" w:eastAsia="Calibri" w:hAnsi="Calibri" w:cs="Times New Roman"/>
              </w:rPr>
              <w:t>significance</w:t>
            </w:r>
            <w:r w:rsidRPr="00B27B4A">
              <w:rPr>
                <w:rFonts w:ascii="Calibri" w:eastAsia="Calibri" w:hAnsi="Calibri" w:cs="Times New Roman"/>
                <w:strike/>
              </w:rPr>
              <w:t>,</w:t>
            </w:r>
            <w:r w:rsidRPr="00B27B4A">
              <w:rPr>
                <w:rFonts w:ascii="Calibri" w:eastAsia="Calibri" w:hAnsi="Calibri" w:cs="Times New Roman"/>
                <w:u w:val="single"/>
              </w:rPr>
              <w:t>.</w:t>
            </w:r>
            <w:proofErr w:type="gramEnd"/>
            <w:r w:rsidRPr="00B27B4A">
              <w:rPr>
                <w:rFonts w:ascii="Calibri" w:eastAsia="Calibri" w:hAnsi="Calibri" w:cs="Times New Roman"/>
              </w:rPr>
              <w:t xml:space="preserve"> </w:t>
            </w:r>
            <w:r w:rsidRPr="00B27B4A">
              <w:rPr>
                <w:rFonts w:ascii="Calibri" w:eastAsia="Calibri" w:hAnsi="Calibri" w:cs="Times New Roman"/>
                <w:u w:val="single"/>
              </w:rPr>
              <w:t>This should include reference to the Gloucestershire Historic Environment Record (HER) and should make use of</w:t>
            </w:r>
            <w:r w:rsidRPr="00B27B4A">
              <w:rPr>
                <w:rFonts w:ascii="Calibri" w:eastAsia="Calibri" w:hAnsi="Calibri" w:cs="Times New Roman"/>
              </w:rPr>
              <w:t xml:space="preserve"> </w:t>
            </w:r>
            <w:r w:rsidRPr="00B27B4A">
              <w:rPr>
                <w:rFonts w:ascii="Calibri" w:eastAsia="Calibri" w:hAnsi="Calibri" w:cs="Times New Roman"/>
                <w:strike/>
              </w:rPr>
              <w:t xml:space="preserve">using </w:t>
            </w:r>
            <w:r w:rsidRPr="00B27B4A">
              <w:rPr>
                <w:rFonts w:ascii="Calibri" w:eastAsia="Calibri" w:hAnsi="Calibri" w:cs="Times New Roman"/>
              </w:rPr>
              <w:t>appropriate expertise</w:t>
            </w:r>
            <w:r w:rsidRPr="00B27B4A">
              <w:rPr>
                <w:rFonts w:ascii="Calibri" w:eastAsia="Calibri" w:hAnsi="Calibri" w:cs="Times New Roman"/>
                <w:u w:val="single"/>
              </w:rPr>
              <w:t xml:space="preserve"> where necessary. On sites with known or potential archaeological interest, an appropriate desk-based assessment will be required prior to determination as a minimum and, where necessary, a field evaluation will be sought</w:t>
            </w:r>
            <w:r w:rsidRPr="00B27B4A">
              <w:rPr>
                <w:rFonts w:ascii="Calibri" w:eastAsia="Calibri" w:hAnsi="Calibri" w:cs="Times New Roman"/>
              </w:rPr>
              <w:t xml:space="preserve">. </w:t>
            </w:r>
            <w:r w:rsidRPr="00B27B4A">
              <w:rPr>
                <w:rFonts w:ascii="Calibri" w:eastAsia="Calibri" w:hAnsi="Calibri" w:cs="Times New Roman"/>
                <w:strike/>
              </w:rPr>
              <w:t xml:space="preserve">This can be a </w:t>
            </w:r>
            <w:proofErr w:type="gramStart"/>
            <w:r w:rsidRPr="00B27B4A">
              <w:rPr>
                <w:rFonts w:ascii="Calibri" w:eastAsia="Calibri" w:hAnsi="Calibri" w:cs="Times New Roman"/>
                <w:strike/>
              </w:rPr>
              <w:t>desk based</w:t>
            </w:r>
            <w:proofErr w:type="gramEnd"/>
            <w:r w:rsidRPr="00B27B4A">
              <w:rPr>
                <w:rFonts w:ascii="Calibri" w:eastAsia="Calibri" w:hAnsi="Calibri" w:cs="Times New Roman"/>
                <w:strike/>
              </w:rPr>
              <w:t xml:space="preserve"> assessment and a field evaluation prior to determination where necessary and should include the Gloucestershire Historic Environment Record.</w:t>
            </w:r>
          </w:p>
          <w:p w14:paraId="38D10924" w14:textId="77777777" w:rsidR="00023B36" w:rsidRPr="00B27B4A" w:rsidRDefault="00023B36" w:rsidP="00C34789">
            <w:pPr>
              <w:autoSpaceDE w:val="0"/>
              <w:autoSpaceDN w:val="0"/>
              <w:adjustRightInd w:val="0"/>
              <w:spacing w:before="120" w:after="120"/>
              <w:ind w:left="462" w:right="72" w:hanging="283"/>
              <w:rPr>
                <w:rFonts w:ascii="Calibri" w:eastAsia="Calibri" w:hAnsi="Calibri" w:cs="Times New Roman"/>
              </w:rPr>
            </w:pPr>
            <w:r w:rsidRPr="00B27B4A">
              <w:rPr>
                <w:rFonts w:ascii="Calibri" w:eastAsia="Calibri" w:hAnsi="Calibri" w:cs="Times New Roman"/>
              </w:rPr>
              <w:t xml:space="preserve">2.  Proposals and initiatives will be supported which conserve and, where appropriate, enhance the heritage significance and setting of the </w:t>
            </w:r>
            <w:proofErr w:type="gramStart"/>
            <w:r w:rsidRPr="00B27B4A">
              <w:rPr>
                <w:rFonts w:ascii="Calibri" w:eastAsia="Calibri" w:hAnsi="Calibri" w:cs="Times New Roman"/>
              </w:rPr>
              <w:t>District</w:t>
            </w:r>
            <w:r w:rsidRPr="00B27B4A">
              <w:rPr>
                <w:rFonts w:ascii="Calibri" w:eastAsia="Calibri" w:hAnsi="Calibri" w:cs="Times New Roman"/>
                <w:u w:val="single"/>
              </w:rPr>
              <w:t>’</w:t>
            </w:r>
            <w:r w:rsidRPr="00B27B4A">
              <w:rPr>
                <w:rFonts w:ascii="Calibri" w:eastAsia="Calibri" w:hAnsi="Calibri" w:cs="Times New Roman"/>
              </w:rPr>
              <w:t>s</w:t>
            </w:r>
            <w:proofErr w:type="gramEnd"/>
            <w:r w:rsidRPr="00B27B4A">
              <w:rPr>
                <w:rFonts w:ascii="Calibri" w:eastAsia="Calibri" w:hAnsi="Calibri" w:cs="Times New Roman"/>
              </w:rPr>
              <w:t xml:space="preserve"> heritage assets, especially those elements </w:t>
            </w:r>
            <w:r w:rsidRPr="00B27B4A">
              <w:rPr>
                <w:rFonts w:ascii="Calibri" w:eastAsia="Calibri" w:hAnsi="Calibri" w:cs="Times New Roman"/>
                <w:strike/>
              </w:rPr>
              <w:t xml:space="preserve">which </w:t>
            </w:r>
            <w:r w:rsidRPr="00B27B4A">
              <w:rPr>
                <w:rFonts w:ascii="Calibri" w:eastAsia="Calibri" w:hAnsi="Calibri" w:cs="Times New Roman"/>
                <w:u w:val="single"/>
              </w:rPr>
              <w:t>that</w:t>
            </w:r>
            <w:r w:rsidRPr="00B27B4A">
              <w:rPr>
                <w:rFonts w:ascii="Calibri" w:eastAsia="Calibri" w:hAnsi="Calibri" w:cs="Times New Roman"/>
              </w:rPr>
              <w:t xml:space="preserve"> contribute to </w:t>
            </w:r>
            <w:r w:rsidRPr="00B27B4A">
              <w:rPr>
                <w:rFonts w:ascii="Calibri" w:eastAsia="Calibri" w:hAnsi="Calibri" w:cs="Times New Roman"/>
                <w:strike/>
              </w:rPr>
              <w:t xml:space="preserve">the distinct identity of the </w:t>
            </w:r>
            <w:r w:rsidRPr="00B27B4A">
              <w:rPr>
                <w:rFonts w:ascii="Calibri" w:eastAsia="Calibri" w:hAnsi="Calibri" w:cs="Times New Roman"/>
                <w:u w:val="single"/>
              </w:rPr>
              <w:t xml:space="preserve">Stroud </w:t>
            </w:r>
            <w:r w:rsidRPr="00B27B4A">
              <w:rPr>
                <w:rFonts w:ascii="Calibri" w:eastAsia="Calibri" w:hAnsi="Calibri" w:cs="Times New Roman"/>
              </w:rPr>
              <w:t>District</w:t>
            </w:r>
            <w:r w:rsidRPr="00B27B4A">
              <w:rPr>
                <w:rFonts w:ascii="Calibri" w:eastAsia="Calibri" w:hAnsi="Calibri" w:cs="Times New Roman"/>
                <w:u w:val="single"/>
              </w:rPr>
              <w:t>’s local distinctiveness</w:t>
            </w:r>
            <w:r w:rsidRPr="00B27B4A">
              <w:rPr>
                <w:rFonts w:ascii="Calibri" w:eastAsia="Calibri" w:hAnsi="Calibri" w:cs="Times New Roman"/>
              </w:rPr>
              <w:t>. These include:</w:t>
            </w:r>
          </w:p>
          <w:p w14:paraId="465878A4" w14:textId="77777777" w:rsidR="00023B36" w:rsidRPr="00B27B4A" w:rsidRDefault="00023B36" w:rsidP="00C34789">
            <w:pPr>
              <w:tabs>
                <w:tab w:val="left" w:pos="604"/>
              </w:tabs>
              <w:autoSpaceDE w:val="0"/>
              <w:autoSpaceDN w:val="0"/>
              <w:adjustRightInd w:val="0"/>
              <w:spacing w:before="120" w:after="120"/>
              <w:ind w:left="851" w:right="72" w:hanging="244"/>
              <w:rPr>
                <w:rFonts w:ascii="Calibri" w:eastAsia="Calibri" w:hAnsi="Calibri" w:cs="Times New Roman"/>
              </w:rPr>
            </w:pPr>
            <w:r w:rsidRPr="00B27B4A">
              <w:rPr>
                <w:rFonts w:ascii="Calibri" w:eastAsia="Calibri" w:hAnsi="Calibri" w:cs="Times New Roman"/>
              </w:rPr>
              <w:t xml:space="preserve">A. the 68 sites of national archaeological importance (which are designated as Ancient Monuments), any undesignated archaeology of national significance, </w:t>
            </w:r>
            <w:r w:rsidRPr="00B27B4A">
              <w:rPr>
                <w:rFonts w:ascii="Calibri" w:eastAsia="Calibri" w:hAnsi="Calibri" w:cs="Times New Roman"/>
                <w:u w:val="single"/>
              </w:rPr>
              <w:t xml:space="preserve">registered parks and gardens </w:t>
            </w:r>
            <w:r w:rsidRPr="00B27B4A">
              <w:rPr>
                <w:rFonts w:ascii="Calibri" w:eastAsia="Calibri" w:hAnsi="Calibri" w:cs="Times New Roman"/>
              </w:rPr>
              <w:t xml:space="preserve">and the many buildings that are Listed as having special architectural or historic </w:t>
            </w:r>
            <w:proofErr w:type="gramStart"/>
            <w:r w:rsidRPr="00B27B4A">
              <w:rPr>
                <w:rFonts w:ascii="Calibri" w:eastAsia="Calibri" w:hAnsi="Calibri" w:cs="Times New Roman"/>
              </w:rPr>
              <w:t>interest</w:t>
            </w:r>
            <w:proofErr w:type="gramEnd"/>
          </w:p>
          <w:p w14:paraId="4B19038B" w14:textId="77777777" w:rsidR="00023B36" w:rsidRPr="00B27B4A" w:rsidRDefault="00023B36" w:rsidP="00C34789">
            <w:pPr>
              <w:tabs>
                <w:tab w:val="left" w:pos="604"/>
              </w:tabs>
              <w:autoSpaceDE w:val="0"/>
              <w:autoSpaceDN w:val="0"/>
              <w:adjustRightInd w:val="0"/>
              <w:spacing w:before="120" w:after="120"/>
              <w:ind w:left="851" w:right="72" w:hanging="244"/>
              <w:rPr>
                <w:rFonts w:ascii="Calibri" w:eastAsia="Calibri" w:hAnsi="Calibri" w:cs="Times New Roman"/>
                <w:u w:val="single"/>
              </w:rPr>
            </w:pPr>
            <w:r w:rsidRPr="00B27B4A">
              <w:rPr>
                <w:rFonts w:ascii="Calibri" w:eastAsia="Calibri" w:hAnsi="Calibri" w:cs="Times New Roman"/>
                <w:u w:val="single"/>
              </w:rPr>
              <w:t xml:space="preserve">B.  designated conservation areas, which are areas of special architectural or historic interest, whose character and appearance makes a significant contribution to many of our towns and villages and to the beauty of the Cotswolds AONB  </w:t>
            </w:r>
          </w:p>
          <w:p w14:paraId="19A9CEC7" w14:textId="77777777" w:rsidR="00023B36" w:rsidRPr="00B27B4A" w:rsidRDefault="00023B36" w:rsidP="00C34789">
            <w:pPr>
              <w:tabs>
                <w:tab w:val="left" w:pos="604"/>
                <w:tab w:val="num" w:pos="888"/>
              </w:tabs>
              <w:autoSpaceDE w:val="0"/>
              <w:autoSpaceDN w:val="0"/>
              <w:adjustRightInd w:val="0"/>
              <w:spacing w:before="120" w:after="120"/>
              <w:ind w:left="851" w:right="-34" w:hanging="244"/>
              <w:rPr>
                <w:rFonts w:ascii="Calibri" w:eastAsia="Calibri" w:hAnsi="Calibri" w:cs="Times New Roman"/>
                <w:strike/>
              </w:rPr>
            </w:pPr>
            <w:r w:rsidRPr="00B27B4A">
              <w:rPr>
                <w:rFonts w:ascii="Calibri" w:eastAsia="Calibri" w:hAnsi="Calibri" w:cs="Times New Roman"/>
                <w:strike/>
              </w:rPr>
              <w:t xml:space="preserve">B.  the stone, bronze, iron age and roman settlements and remains; the medieval settlements including Berkeley Castle; historic houses; historic parks, gardens and </w:t>
            </w:r>
            <w:proofErr w:type="gramStart"/>
            <w:r w:rsidRPr="00B27B4A">
              <w:rPr>
                <w:rFonts w:ascii="Calibri" w:eastAsia="Calibri" w:hAnsi="Calibri" w:cs="Times New Roman"/>
                <w:strike/>
              </w:rPr>
              <w:t>villages</w:t>
            </w:r>
            <w:proofErr w:type="gramEnd"/>
          </w:p>
          <w:p w14:paraId="226E759F" w14:textId="77777777" w:rsidR="00023B36" w:rsidRPr="00B27B4A" w:rsidRDefault="00023B36" w:rsidP="00C34789">
            <w:pPr>
              <w:numPr>
                <w:ilvl w:val="0"/>
                <w:numId w:val="6"/>
              </w:numPr>
              <w:tabs>
                <w:tab w:val="num" w:pos="850"/>
              </w:tabs>
              <w:autoSpaceDE w:val="0"/>
              <w:autoSpaceDN w:val="0"/>
              <w:adjustRightInd w:val="0"/>
              <w:spacing w:before="120" w:after="120"/>
              <w:ind w:left="851" w:right="72" w:hanging="244"/>
              <w:rPr>
                <w:rFonts w:ascii="Calibri" w:eastAsia="Calibri" w:hAnsi="Calibri" w:cs="Times New Roman"/>
                <w:strike/>
              </w:rPr>
            </w:pPr>
            <w:r w:rsidRPr="00B27B4A">
              <w:rPr>
                <w:rFonts w:ascii="Calibri" w:eastAsia="Calibri" w:hAnsi="Calibri" w:cs="Times New Roman"/>
                <w:strike/>
              </w:rPr>
              <w:lastRenderedPageBreak/>
              <w:t xml:space="preserve">the townscapes of the larger towns such as Stroud where the industrial heritage influenced its historic grain, including its street layouts and plot </w:t>
            </w:r>
            <w:proofErr w:type="gramStart"/>
            <w:r w:rsidRPr="00B27B4A">
              <w:rPr>
                <w:rFonts w:ascii="Calibri" w:eastAsia="Calibri" w:hAnsi="Calibri" w:cs="Times New Roman"/>
                <w:strike/>
              </w:rPr>
              <w:t>sizes</w:t>
            </w:r>
            <w:proofErr w:type="gramEnd"/>
            <w:r w:rsidRPr="00B27B4A">
              <w:rPr>
                <w:rFonts w:ascii="Calibri" w:eastAsia="Calibri" w:hAnsi="Calibri" w:cs="Times New Roman"/>
                <w:strike/>
              </w:rPr>
              <w:t xml:space="preserve"> </w:t>
            </w:r>
          </w:p>
          <w:p w14:paraId="02A319A0" w14:textId="77777777" w:rsidR="00023B36" w:rsidRPr="00B27B4A" w:rsidRDefault="00023B36" w:rsidP="00C34789">
            <w:pPr>
              <w:tabs>
                <w:tab w:val="num" w:pos="850"/>
              </w:tabs>
              <w:autoSpaceDE w:val="0"/>
              <w:autoSpaceDN w:val="0"/>
              <w:adjustRightInd w:val="0"/>
              <w:spacing w:before="120" w:after="120"/>
              <w:ind w:left="851" w:right="74" w:hanging="247"/>
              <w:rPr>
                <w:rFonts w:ascii="Calibri" w:eastAsia="Calibri" w:hAnsi="Calibri" w:cs="Times New Roman"/>
                <w:strike/>
              </w:rPr>
            </w:pPr>
            <w:r w:rsidRPr="00B27B4A">
              <w:rPr>
                <w:rFonts w:ascii="Calibri" w:eastAsia="Calibri" w:hAnsi="Calibri" w:cs="Times New Roman"/>
                <w:strike/>
              </w:rPr>
              <w:t>D. the District’s historic market towns and villages, many with designated conservation areas, such as Berkeley, Wotton Under Edge, Minchinhampton, Painswick and Dursley.</w:t>
            </w:r>
          </w:p>
          <w:p w14:paraId="461ABFD4" w14:textId="77777777" w:rsidR="00023B36" w:rsidRPr="00B27B4A" w:rsidRDefault="00023B36" w:rsidP="00C34789">
            <w:pPr>
              <w:autoSpaceDE w:val="0"/>
              <w:autoSpaceDN w:val="0"/>
              <w:adjustRightInd w:val="0"/>
              <w:spacing w:before="120" w:after="120"/>
              <w:ind w:left="888" w:right="72" w:hanging="709"/>
              <w:rPr>
                <w:rFonts w:ascii="Calibri" w:eastAsia="Calibri" w:hAnsi="Calibri" w:cs="Times New Roman"/>
              </w:rPr>
            </w:pPr>
            <w:r w:rsidRPr="00B27B4A">
              <w:rPr>
                <w:rFonts w:ascii="Calibri" w:eastAsia="Calibri" w:hAnsi="Calibri" w:cs="Times New Roman"/>
                <w:strike/>
              </w:rPr>
              <w:t xml:space="preserve">3. </w:t>
            </w:r>
            <w:r w:rsidRPr="00B27B4A">
              <w:rPr>
                <w:rFonts w:ascii="Calibri" w:eastAsia="Calibri" w:hAnsi="Calibri" w:cs="Times New Roman"/>
              </w:rPr>
              <w:t xml:space="preserve">    </w:t>
            </w:r>
            <w:r w:rsidRPr="00B27B4A">
              <w:rPr>
                <w:rFonts w:ascii="Calibri" w:eastAsia="Calibri" w:hAnsi="Calibri" w:cs="Times New Roman"/>
                <w:u w:val="single"/>
              </w:rPr>
              <w:t>C.</w:t>
            </w:r>
            <w:r w:rsidRPr="00B27B4A">
              <w:rPr>
                <w:rFonts w:ascii="Calibri" w:eastAsia="Calibri" w:hAnsi="Calibri" w:cs="Times New Roman"/>
              </w:rPr>
              <w:t xml:space="preserve">  </w:t>
            </w:r>
            <w:r w:rsidRPr="00B27B4A">
              <w:rPr>
                <w:rFonts w:ascii="Calibri" w:eastAsia="Calibri" w:hAnsi="Calibri" w:cs="Times New Roman"/>
                <w:strike/>
              </w:rPr>
              <w:t xml:space="preserve">Proposals will be supported which protect and, where appropriate, enhance the heritage significance and setting of </w:t>
            </w:r>
            <w:r w:rsidRPr="00B27B4A">
              <w:rPr>
                <w:rFonts w:ascii="Calibri" w:eastAsia="Calibri" w:hAnsi="Calibri" w:cs="Times New Roman"/>
              </w:rPr>
              <w:t xml:space="preserve">locally identified heritage assets, such as buildings </w:t>
            </w:r>
            <w:r w:rsidRPr="00B27B4A">
              <w:rPr>
                <w:rFonts w:ascii="Calibri" w:eastAsia="Calibri" w:hAnsi="Calibri" w:cs="Times New Roman"/>
                <w:u w:val="single"/>
              </w:rPr>
              <w:t xml:space="preserve">or structures </w:t>
            </w:r>
            <w:r w:rsidRPr="00B27B4A">
              <w:rPr>
                <w:rFonts w:ascii="Calibri" w:eastAsia="Calibri" w:hAnsi="Calibri" w:cs="Times New Roman"/>
              </w:rPr>
              <w:t>of local architectural or historic interest, locally important archaeological sites and parks</w:t>
            </w:r>
            <w:r w:rsidRPr="00B27B4A">
              <w:rPr>
                <w:rFonts w:ascii="Calibri" w:eastAsia="Calibri" w:hAnsi="Calibri" w:cs="Times New Roman"/>
                <w:u w:val="single"/>
              </w:rPr>
              <w:t>,</w:t>
            </w:r>
            <w:r w:rsidRPr="00B27B4A">
              <w:rPr>
                <w:rFonts w:ascii="Calibri" w:eastAsia="Calibri" w:hAnsi="Calibri" w:cs="Times New Roman"/>
              </w:rPr>
              <w:t xml:space="preserve"> </w:t>
            </w:r>
            <w:r w:rsidRPr="00B27B4A">
              <w:rPr>
                <w:rFonts w:ascii="Calibri" w:eastAsia="Calibri" w:hAnsi="Calibri" w:cs="Times New Roman"/>
                <w:strike/>
              </w:rPr>
              <w:t xml:space="preserve">and </w:t>
            </w:r>
            <w:r w:rsidRPr="00B27B4A">
              <w:rPr>
                <w:rFonts w:ascii="Calibri" w:eastAsia="Calibri" w:hAnsi="Calibri" w:cs="Times New Roman"/>
              </w:rPr>
              <w:t xml:space="preserve">gardens </w:t>
            </w:r>
            <w:r w:rsidRPr="00B27B4A">
              <w:rPr>
                <w:rFonts w:ascii="Calibri" w:eastAsia="Calibri" w:hAnsi="Calibri" w:cs="Times New Roman"/>
                <w:u w:val="single"/>
              </w:rPr>
              <w:t>and spaces</w:t>
            </w:r>
            <w:r w:rsidRPr="00B27B4A">
              <w:rPr>
                <w:rFonts w:ascii="Calibri" w:eastAsia="Calibri" w:hAnsi="Calibri" w:cs="Times New Roman"/>
              </w:rPr>
              <w:t xml:space="preserve"> of local</w:t>
            </w:r>
            <w:r w:rsidRPr="00B27B4A">
              <w:rPr>
                <w:rFonts w:ascii="Calibri" w:eastAsia="Calibri" w:hAnsi="Calibri" w:cs="Times New Roman"/>
                <w:strike/>
              </w:rPr>
              <w:t xml:space="preserve"> interest</w:t>
            </w:r>
            <w:r w:rsidRPr="00B27B4A">
              <w:rPr>
                <w:rFonts w:ascii="Calibri" w:eastAsia="Calibri" w:hAnsi="Calibri" w:cs="Times New Roman"/>
              </w:rPr>
              <w:t xml:space="preserve"> </w:t>
            </w:r>
            <w:r w:rsidRPr="00B27B4A">
              <w:rPr>
                <w:rFonts w:ascii="Calibri" w:eastAsia="Calibri" w:hAnsi="Calibri" w:cs="Times New Roman"/>
                <w:u w:val="single"/>
              </w:rPr>
              <w:t>heritage significance</w:t>
            </w:r>
            <w:r w:rsidRPr="00B27B4A">
              <w:rPr>
                <w:rFonts w:ascii="Calibri" w:eastAsia="Calibri" w:hAnsi="Calibri" w:cs="Times New Roman"/>
              </w:rPr>
              <w:t>.</w:t>
            </w:r>
          </w:p>
          <w:p w14:paraId="0B3E0468" w14:textId="77777777" w:rsidR="00023B36" w:rsidRPr="00B27B4A" w:rsidRDefault="00023B36" w:rsidP="00C34789">
            <w:pPr>
              <w:autoSpaceDE w:val="0"/>
              <w:autoSpaceDN w:val="0"/>
              <w:adjustRightInd w:val="0"/>
              <w:spacing w:before="120" w:after="120"/>
              <w:ind w:left="462" w:right="72" w:hanging="283"/>
              <w:rPr>
                <w:rFonts w:ascii="Calibri" w:eastAsia="Calibri" w:hAnsi="Calibri" w:cs="Times New Roman"/>
              </w:rPr>
            </w:pPr>
            <w:r w:rsidRPr="00B27B4A">
              <w:rPr>
                <w:rFonts w:ascii="Calibri" w:eastAsia="Calibri" w:hAnsi="Calibri" w:cs="Times New Roman"/>
              </w:rPr>
              <w:t>4.  Proposals will be supported which protect and, where appropriate, enhance key views and vistas, especially of locally distinctive landmark features such as the spires and towers of historic churches and mill chimneys.</w:t>
            </w:r>
          </w:p>
          <w:p w14:paraId="653BD2D6" w14:textId="77777777" w:rsidR="00023B36" w:rsidRPr="00B27B4A" w:rsidRDefault="00023B36" w:rsidP="00C34789">
            <w:pPr>
              <w:ind w:left="462" w:hanging="283"/>
              <w:rPr>
                <w:rFonts w:ascii="Calibri" w:eastAsia="Calibri" w:hAnsi="Calibri" w:cs="Times New Roman"/>
              </w:rPr>
            </w:pPr>
            <w:r w:rsidRPr="00B27B4A">
              <w:rPr>
                <w:rFonts w:ascii="Calibri" w:eastAsia="Calibri" w:hAnsi="Calibri" w:cs="Times New Roman"/>
              </w:rPr>
              <w:t xml:space="preserve">5.  Any harm </w:t>
            </w:r>
            <w:r w:rsidRPr="00B27B4A">
              <w:rPr>
                <w:rFonts w:ascii="Calibri" w:eastAsia="Calibri" w:hAnsi="Calibri" w:cs="Times New Roman"/>
                <w:u w:val="single"/>
              </w:rPr>
              <w:t xml:space="preserve">to </w:t>
            </w:r>
            <w:r w:rsidRPr="00B27B4A">
              <w:rPr>
                <w:rFonts w:ascii="Calibri" w:eastAsia="Calibri" w:hAnsi="Calibri" w:cs="Times New Roman"/>
              </w:rPr>
              <w:t xml:space="preserve">or loss </w:t>
            </w:r>
            <w:r w:rsidRPr="00B27B4A">
              <w:rPr>
                <w:rFonts w:ascii="Calibri" w:eastAsia="Calibri" w:hAnsi="Calibri" w:cs="Times New Roman"/>
                <w:u w:val="single"/>
              </w:rPr>
              <w:t>of significance</w:t>
            </w:r>
            <w:r w:rsidRPr="00B27B4A">
              <w:rPr>
                <w:rFonts w:ascii="Calibri" w:eastAsia="Calibri" w:hAnsi="Calibri" w:cs="Times New Roman"/>
              </w:rPr>
              <w:t xml:space="preserve"> would require clear and convincing justification to </w:t>
            </w:r>
            <w:r w:rsidRPr="00B27B4A">
              <w:rPr>
                <w:rFonts w:ascii="Calibri" w:eastAsia="Calibri" w:hAnsi="Calibri" w:cs="Times New Roman"/>
                <w:u w:val="single"/>
              </w:rPr>
              <w:t xml:space="preserve">enable </w:t>
            </w:r>
            <w:r w:rsidRPr="00B27B4A">
              <w:rPr>
                <w:rFonts w:ascii="Calibri" w:eastAsia="Calibri" w:hAnsi="Calibri" w:cs="Times New Roman"/>
              </w:rPr>
              <w:t xml:space="preserve">the relevant decision-maker </w:t>
            </w:r>
            <w:r w:rsidRPr="00B27B4A">
              <w:rPr>
                <w:rFonts w:ascii="Calibri" w:eastAsia="Calibri" w:hAnsi="Calibri" w:cs="Times New Roman"/>
                <w:u w:val="single"/>
              </w:rPr>
              <w:t xml:space="preserve">to make an informed and balanced judgement, having regard to the degree and substance of likely impact, the significance of the heritage asset and (in the case of designated assets) any public benefits that might outweigh the harm or loss. </w:t>
            </w:r>
            <w:r w:rsidRPr="00B27B4A">
              <w:rPr>
                <w:rFonts w:ascii="Calibri" w:eastAsia="Calibri" w:hAnsi="Calibri" w:cs="Times New Roman"/>
                <w:strike/>
              </w:rPr>
              <w:t>as to why the heritage interest should be overridden.</w:t>
            </w:r>
            <w:r w:rsidRPr="00B27B4A">
              <w:rPr>
                <w:rFonts w:ascii="Calibri" w:eastAsia="Calibri" w:hAnsi="Calibri" w:cs="Times New Roman"/>
              </w:rPr>
              <w:t xml:space="preserve"> Where there is evidence of deliberate neglect of</w:t>
            </w:r>
            <w:r w:rsidRPr="00B27B4A">
              <w:rPr>
                <w:rFonts w:ascii="Calibri" w:eastAsia="Calibri" w:hAnsi="Calibri" w:cs="Times New Roman"/>
                <w:strike/>
              </w:rPr>
              <w:t>,</w:t>
            </w:r>
            <w:r w:rsidRPr="00B27B4A">
              <w:rPr>
                <w:rFonts w:ascii="Calibri" w:eastAsia="Calibri" w:hAnsi="Calibri" w:cs="Times New Roman"/>
              </w:rPr>
              <w:t xml:space="preserve"> or damage to</w:t>
            </w:r>
            <w:r w:rsidRPr="00B27B4A">
              <w:rPr>
                <w:rFonts w:ascii="Calibri" w:eastAsia="Calibri" w:hAnsi="Calibri" w:cs="Times New Roman"/>
                <w:strike/>
              </w:rPr>
              <w:t>,</w:t>
            </w:r>
            <w:r w:rsidRPr="00B27B4A">
              <w:rPr>
                <w:rFonts w:ascii="Calibri" w:eastAsia="Calibri" w:hAnsi="Calibri" w:cs="Times New Roman"/>
              </w:rPr>
              <w:t xml:space="preserve"> a heritage asset, </w:t>
            </w:r>
            <w:r w:rsidRPr="00B27B4A">
              <w:rPr>
                <w:rFonts w:ascii="Calibri" w:eastAsia="Calibri" w:hAnsi="Calibri" w:cs="Times New Roman"/>
                <w:strike/>
              </w:rPr>
              <w:t>this</w:t>
            </w:r>
            <w:r w:rsidRPr="00B27B4A">
              <w:rPr>
                <w:rFonts w:ascii="Calibri" w:eastAsia="Calibri" w:hAnsi="Calibri" w:cs="Times New Roman"/>
              </w:rPr>
              <w:t xml:space="preserve"> </w:t>
            </w:r>
            <w:r w:rsidRPr="00B27B4A">
              <w:rPr>
                <w:rFonts w:ascii="Calibri" w:eastAsia="Calibri" w:hAnsi="Calibri" w:cs="Times New Roman"/>
                <w:u w:val="single"/>
              </w:rPr>
              <w:t>the deteriorated state of the asset</w:t>
            </w:r>
            <w:r w:rsidRPr="00B27B4A">
              <w:rPr>
                <w:rFonts w:ascii="Calibri" w:eastAsia="Calibri" w:hAnsi="Calibri" w:cs="Times New Roman"/>
              </w:rPr>
              <w:t xml:space="preserve"> will not be viewed as a justification for loss or alteration.</w:t>
            </w:r>
          </w:p>
          <w:p w14:paraId="43143967" w14:textId="77777777" w:rsidR="00023B36" w:rsidRPr="00B27B4A" w:rsidRDefault="00023B36" w:rsidP="00C34789">
            <w:pPr>
              <w:spacing w:before="240"/>
            </w:pPr>
            <w:r w:rsidRPr="00B27B4A">
              <w:rPr>
                <w:rFonts w:ascii="Calibri" w:eastAsia="Calibri" w:hAnsi="Calibri" w:cs="Times New Roman"/>
              </w:rPr>
              <w:t>A full programme of work shall be submitted with the application, together with proposals to mitigate any adverse impact of the proposed development, and where appropriate, this shall be implemented through measures secured by planning condition(s) or through a legal agreement.</w:t>
            </w:r>
          </w:p>
          <w:p w14:paraId="3A6FE672" w14:textId="100E6048" w:rsidR="00023B36" w:rsidRPr="00B27B4A" w:rsidRDefault="00023B36" w:rsidP="00C34789">
            <w:pPr>
              <w:spacing w:before="120"/>
            </w:pPr>
          </w:p>
        </w:tc>
        <w:tc>
          <w:tcPr>
            <w:tcW w:w="4380" w:type="dxa"/>
          </w:tcPr>
          <w:p w14:paraId="1ADE6A67" w14:textId="77777777" w:rsidR="00023B36" w:rsidRDefault="00023B36" w:rsidP="00C34789">
            <w:r w:rsidRPr="00A61346">
              <w:lastRenderedPageBreak/>
              <w:t xml:space="preserve">Restructure and reword criterion 1 of Delivery Policy ES10 to </w:t>
            </w:r>
            <w:r>
              <w:t xml:space="preserve">a) </w:t>
            </w:r>
            <w:r w:rsidRPr="00A61346">
              <w:t xml:space="preserve">ensure </w:t>
            </w:r>
            <w:r>
              <w:t xml:space="preserve">reference to </w:t>
            </w:r>
            <w:r w:rsidRPr="00A61346">
              <w:t xml:space="preserve">GHER </w:t>
            </w:r>
            <w:r>
              <w:t xml:space="preserve">and requirement for a heritage statement applies to </w:t>
            </w:r>
            <w:r w:rsidRPr="00A61346">
              <w:t>all assets</w:t>
            </w:r>
            <w:r>
              <w:t xml:space="preserve">; and b) clarify separate (additional) requirements for archaeology, including clarifying </w:t>
            </w:r>
            <w:r w:rsidRPr="00A61346">
              <w:t>when field evaluation is required (</w:t>
            </w:r>
            <w:proofErr w:type="gramStart"/>
            <w:r w:rsidRPr="00A61346">
              <w:t>i.e.</w:t>
            </w:r>
            <w:proofErr w:type="gramEnd"/>
            <w:r w:rsidRPr="00A61346">
              <w:t xml:space="preserve"> “where necessary”)</w:t>
            </w:r>
            <w:r>
              <w:t xml:space="preserve">, to better reflect NPPF para.194. </w:t>
            </w:r>
          </w:p>
          <w:p w14:paraId="71E86C77" w14:textId="12853211" w:rsidR="00023B36" w:rsidRPr="004C69F3" w:rsidRDefault="00023B36" w:rsidP="00C34789"/>
        </w:tc>
        <w:tc>
          <w:tcPr>
            <w:tcW w:w="1699" w:type="dxa"/>
          </w:tcPr>
          <w:p w14:paraId="24BA3A8D" w14:textId="63199FF8" w:rsidR="00023B36" w:rsidRPr="004C69F3" w:rsidRDefault="00023B36" w:rsidP="00C34789">
            <w:r>
              <w:t>Completed</w:t>
            </w:r>
          </w:p>
        </w:tc>
      </w:tr>
      <w:bookmarkEnd w:id="1"/>
      <w:tr w:rsidR="00023B36" w14:paraId="490D5283" w14:textId="77777777" w:rsidTr="00023B36">
        <w:tc>
          <w:tcPr>
            <w:tcW w:w="1485" w:type="dxa"/>
            <w:vMerge/>
          </w:tcPr>
          <w:p w14:paraId="537124CB" w14:textId="21FFA684" w:rsidR="00023B36" w:rsidRPr="004C69F3" w:rsidRDefault="00023B36" w:rsidP="00C34789"/>
        </w:tc>
        <w:tc>
          <w:tcPr>
            <w:tcW w:w="829" w:type="dxa"/>
            <w:vMerge/>
          </w:tcPr>
          <w:p w14:paraId="3F929D59" w14:textId="77777777" w:rsidR="00023B36" w:rsidRPr="0036083C" w:rsidRDefault="00023B36" w:rsidP="00C34789"/>
        </w:tc>
        <w:tc>
          <w:tcPr>
            <w:tcW w:w="9532" w:type="dxa"/>
            <w:vMerge/>
          </w:tcPr>
          <w:p w14:paraId="369D5E88" w14:textId="359BB762" w:rsidR="00023B36" w:rsidRPr="004C69F3" w:rsidRDefault="00023B36" w:rsidP="00C34789">
            <w:pPr>
              <w:numPr>
                <w:ilvl w:val="0"/>
                <w:numId w:val="4"/>
              </w:numPr>
              <w:spacing w:before="120"/>
              <w:ind w:left="325" w:hanging="284"/>
            </w:pPr>
          </w:p>
        </w:tc>
        <w:tc>
          <w:tcPr>
            <w:tcW w:w="4380" w:type="dxa"/>
          </w:tcPr>
          <w:p w14:paraId="15D0506D" w14:textId="42D457C8" w:rsidR="00023B36" w:rsidRDefault="00023B36" w:rsidP="00C34789">
            <w:r w:rsidRPr="00A61346">
              <w:t>Carry out a “health check” of Delivery Policy ES10 criterion 2</w:t>
            </w:r>
            <w:r>
              <w:t>, particularly 2</w:t>
            </w:r>
            <w:r w:rsidRPr="00A61346">
              <w:t>B</w:t>
            </w:r>
            <w:r>
              <w:t>,</w:t>
            </w:r>
            <w:r w:rsidRPr="00A61346">
              <w:t xml:space="preserve"> and </w:t>
            </w:r>
            <w:r>
              <w:t xml:space="preserve">consider </w:t>
            </w:r>
            <w:r w:rsidRPr="00A61346">
              <w:t>whether the supporting text could be changed (is the policy too specific about certain types of remains, should it be more general with specific examples set out in the supporting text?</w:t>
            </w:r>
            <w:r>
              <w:t xml:space="preserve"> Are the examples cited in the policy locally representative?</w:t>
            </w:r>
            <w:r w:rsidRPr="00A61346">
              <w:t>)</w:t>
            </w:r>
          </w:p>
          <w:p w14:paraId="4E4058A1" w14:textId="1108B339" w:rsidR="00023B36" w:rsidRPr="004C69F3" w:rsidRDefault="00023B36" w:rsidP="00C34789"/>
        </w:tc>
        <w:tc>
          <w:tcPr>
            <w:tcW w:w="1699" w:type="dxa"/>
          </w:tcPr>
          <w:p w14:paraId="0D8BD8EA" w14:textId="47D7DC40" w:rsidR="00023B36" w:rsidRPr="004C69F3" w:rsidRDefault="00023B36" w:rsidP="00C34789">
            <w:r>
              <w:t>Completed</w:t>
            </w:r>
          </w:p>
        </w:tc>
      </w:tr>
      <w:tr w:rsidR="00023B36" w14:paraId="4EE7A24C" w14:textId="77777777" w:rsidTr="00023B36">
        <w:tc>
          <w:tcPr>
            <w:tcW w:w="1485" w:type="dxa"/>
            <w:vMerge/>
          </w:tcPr>
          <w:p w14:paraId="42EC138A" w14:textId="67A3DE42" w:rsidR="00023B36" w:rsidRPr="004C69F3" w:rsidRDefault="00023B36" w:rsidP="00C34789"/>
        </w:tc>
        <w:tc>
          <w:tcPr>
            <w:tcW w:w="829" w:type="dxa"/>
            <w:vMerge/>
          </w:tcPr>
          <w:p w14:paraId="21DF9D1B" w14:textId="77777777" w:rsidR="00023B36" w:rsidRPr="0036083C" w:rsidRDefault="00023B36" w:rsidP="00C34789"/>
        </w:tc>
        <w:tc>
          <w:tcPr>
            <w:tcW w:w="9532" w:type="dxa"/>
            <w:vMerge/>
          </w:tcPr>
          <w:p w14:paraId="75B6793C" w14:textId="062FC347" w:rsidR="00023B36" w:rsidRPr="004C69F3" w:rsidRDefault="00023B36" w:rsidP="00C34789">
            <w:pPr>
              <w:numPr>
                <w:ilvl w:val="0"/>
                <w:numId w:val="4"/>
              </w:numPr>
              <w:spacing w:before="120"/>
              <w:ind w:left="325" w:hanging="284"/>
            </w:pPr>
          </w:p>
        </w:tc>
        <w:tc>
          <w:tcPr>
            <w:tcW w:w="4380" w:type="dxa"/>
          </w:tcPr>
          <w:p w14:paraId="464B59B8" w14:textId="77777777" w:rsidR="00023B36" w:rsidRDefault="00023B36" w:rsidP="00C34789">
            <w:r w:rsidRPr="00A61346">
              <w:t>Review</w:t>
            </w:r>
            <w:r>
              <w:t xml:space="preserve"> Criterion 5 and</w:t>
            </w:r>
            <w:r w:rsidRPr="00A61346">
              <w:t xml:space="preserve"> supporting text in para. 6.70 and 6.72 </w:t>
            </w:r>
            <w:proofErr w:type="gramStart"/>
            <w:r w:rsidRPr="00A61346">
              <w:t>in light of</w:t>
            </w:r>
            <w:proofErr w:type="gramEnd"/>
            <w:r w:rsidRPr="00A61346">
              <w:t xml:space="preserve"> objections relating to a) conservation of assets may not </w:t>
            </w:r>
            <w:r>
              <w:t xml:space="preserve">always </w:t>
            </w:r>
            <w:r w:rsidRPr="00A61346">
              <w:t>be possible</w:t>
            </w:r>
            <w:r>
              <w:t>,</w:t>
            </w:r>
            <w:r w:rsidRPr="00A61346">
              <w:t xml:space="preserve"> b) no test for less than substantial harm</w:t>
            </w:r>
            <w:r>
              <w:t>, and c) no differentiation between designated and non-designated assets</w:t>
            </w:r>
            <w:r w:rsidRPr="00A61346">
              <w:t>.</w:t>
            </w:r>
            <w:r>
              <w:t xml:space="preserve"> Ref. NPPF paras. 196 and 200-203</w:t>
            </w:r>
          </w:p>
          <w:p w14:paraId="7455E669" w14:textId="51DA7F1D" w:rsidR="00023B36" w:rsidRPr="004C69F3" w:rsidRDefault="00023B36" w:rsidP="00C34789"/>
        </w:tc>
        <w:tc>
          <w:tcPr>
            <w:tcW w:w="1699" w:type="dxa"/>
          </w:tcPr>
          <w:p w14:paraId="1084BA31" w14:textId="4B028B60" w:rsidR="00023B36" w:rsidRPr="004C69F3" w:rsidRDefault="00023B36" w:rsidP="00C34789">
            <w:r>
              <w:t>Completed</w:t>
            </w:r>
          </w:p>
        </w:tc>
      </w:tr>
      <w:bookmarkEnd w:id="2"/>
      <w:tr w:rsidR="00023B36" w14:paraId="71315450" w14:textId="77777777" w:rsidTr="00023B36">
        <w:trPr>
          <w:trHeight w:val="3251"/>
        </w:trPr>
        <w:tc>
          <w:tcPr>
            <w:tcW w:w="1485" w:type="dxa"/>
            <w:vMerge w:val="restart"/>
          </w:tcPr>
          <w:p w14:paraId="376E237E" w14:textId="77777777" w:rsidR="00023B36" w:rsidRPr="004C69F3" w:rsidRDefault="00023B36" w:rsidP="00C34789">
            <w:r>
              <w:t>Matter 10c</w:t>
            </w:r>
          </w:p>
        </w:tc>
        <w:tc>
          <w:tcPr>
            <w:tcW w:w="829" w:type="dxa"/>
            <w:vMerge w:val="restart"/>
          </w:tcPr>
          <w:p w14:paraId="17546BB9" w14:textId="7BA12AB9" w:rsidR="00023B36" w:rsidRPr="003001F9" w:rsidRDefault="00023B36" w:rsidP="00C34789">
            <w:pPr>
              <w:rPr>
                <w:highlight w:val="yellow"/>
              </w:rPr>
            </w:pPr>
            <w:r w:rsidRPr="00C85E77">
              <w:t>MD24</w:t>
            </w:r>
          </w:p>
        </w:tc>
        <w:tc>
          <w:tcPr>
            <w:tcW w:w="9532" w:type="dxa"/>
            <w:vMerge w:val="restart"/>
          </w:tcPr>
          <w:p w14:paraId="0CAB881F" w14:textId="30144F08" w:rsidR="00023B36" w:rsidRPr="00392D7F" w:rsidRDefault="00023B36" w:rsidP="00C34789">
            <w:r w:rsidRPr="00392D7F">
              <w:t>Changes to supporting text for Delivery Policy ES10 Valuing our historic environment and assets:</w:t>
            </w:r>
          </w:p>
          <w:p w14:paraId="2B91D618" w14:textId="77777777" w:rsidR="00023B36" w:rsidRPr="00392D7F" w:rsidRDefault="00023B36" w:rsidP="00C34789">
            <w:pPr>
              <w:spacing w:before="360" w:after="200" w:line="276" w:lineRule="auto"/>
              <w:ind w:left="750" w:hanging="425"/>
              <w:rPr>
                <w:rFonts w:eastAsia="Calibri" w:cs="Arial"/>
              </w:rPr>
            </w:pPr>
            <w:r w:rsidRPr="00392D7F">
              <w:rPr>
                <w:rFonts w:eastAsia="Calibri" w:cs="Arial"/>
              </w:rPr>
              <w:t xml:space="preserve">6.66 The historic environment is important for its own sake. It is also central to the character and identity of the </w:t>
            </w:r>
            <w:proofErr w:type="gramStart"/>
            <w:r w:rsidRPr="00392D7F">
              <w:rPr>
                <w:rFonts w:eastAsia="Calibri" w:cs="Arial"/>
              </w:rPr>
              <w:t>District</w:t>
            </w:r>
            <w:proofErr w:type="gramEnd"/>
            <w:r w:rsidRPr="00392D7F">
              <w:rPr>
                <w:rFonts w:eastAsia="Calibri" w:cs="Arial"/>
              </w:rPr>
              <w:t xml:space="preserve">. It is a source of immense local pride, as well as being a valuable educational and economic resource. The historic environment should also act as a positive stimulus and inspiration to place making in all parts of the </w:t>
            </w:r>
            <w:proofErr w:type="gramStart"/>
            <w:r w:rsidRPr="00392D7F">
              <w:rPr>
                <w:rFonts w:eastAsia="Calibri" w:cs="Arial"/>
              </w:rPr>
              <w:t>District</w:t>
            </w:r>
            <w:proofErr w:type="gramEnd"/>
            <w:r w:rsidRPr="00392D7F">
              <w:rPr>
                <w:rFonts w:eastAsia="Calibri" w:cs="Arial"/>
              </w:rPr>
              <w:t xml:space="preserve"> so that it can reinforce local identity and play a part in increasing the appeal of the area as a place to live, work, visit and invest in.</w:t>
            </w:r>
            <w:r w:rsidRPr="00392D7F">
              <w:rPr>
                <w:rFonts w:eastAsia="Calibri" w:cs="Times New Roman"/>
              </w:rPr>
              <w:t xml:space="preserve"> </w:t>
            </w:r>
            <w:r w:rsidRPr="00392D7F">
              <w:rPr>
                <w:rFonts w:eastAsia="Calibri" w:cs="Arial"/>
              </w:rPr>
              <w:t xml:space="preserve">New development should seek opportunities to draw on the historic environment </w:t>
            </w:r>
            <w:proofErr w:type="gramStart"/>
            <w:r w:rsidRPr="00392D7F">
              <w:rPr>
                <w:rFonts w:eastAsia="Calibri" w:cs="Arial"/>
              </w:rPr>
              <w:t>in order to</w:t>
            </w:r>
            <w:proofErr w:type="gramEnd"/>
            <w:r w:rsidRPr="00392D7F">
              <w:rPr>
                <w:rFonts w:eastAsia="Calibri" w:cs="Arial"/>
              </w:rPr>
              <w:t xml:space="preserve"> maintain and enhance local character and distinctiveness.</w:t>
            </w:r>
          </w:p>
          <w:p w14:paraId="14CF1F7A" w14:textId="77777777" w:rsidR="00023B36" w:rsidRPr="00392D7F" w:rsidRDefault="00023B36" w:rsidP="00C34789">
            <w:pPr>
              <w:tabs>
                <w:tab w:val="left" w:pos="284"/>
              </w:tabs>
              <w:spacing w:after="200" w:line="264" w:lineRule="auto"/>
              <w:ind w:left="750" w:right="70" w:hanging="425"/>
              <w:rPr>
                <w:rFonts w:eastAsia="Calibri" w:cs="Arial"/>
              </w:rPr>
            </w:pPr>
            <w:r w:rsidRPr="00392D7F">
              <w:rPr>
                <w:rFonts w:eastAsia="Calibri" w:cs="Arial"/>
              </w:rPr>
              <w:t xml:space="preserve">6.67 National planning policy provides guidance on the identification, significance, and protection of heritage assets – from sites and buildings of local historic value to listed buildings, conservation areas, historic </w:t>
            </w:r>
            <w:proofErr w:type="gramStart"/>
            <w:r w:rsidRPr="00392D7F">
              <w:rPr>
                <w:rFonts w:eastAsia="Calibri" w:cs="Arial"/>
              </w:rPr>
              <w:t>parks</w:t>
            </w:r>
            <w:proofErr w:type="gramEnd"/>
            <w:r w:rsidRPr="00392D7F">
              <w:rPr>
                <w:rFonts w:eastAsia="Calibri" w:cs="Arial"/>
              </w:rPr>
              <w:t xml:space="preserve"> and gardens and archaeological remains. National policy expects that the contribution of such heritage assets to local character and sense of place is recognised and valued and that policies ensure they are conserved in a manner appropriate to their significance.</w:t>
            </w:r>
          </w:p>
          <w:p w14:paraId="68F74D1B" w14:textId="77777777" w:rsidR="00023B36" w:rsidRPr="00392D7F" w:rsidRDefault="00023B36" w:rsidP="00C34789">
            <w:pPr>
              <w:tabs>
                <w:tab w:val="left" w:pos="284"/>
              </w:tabs>
              <w:spacing w:after="200" w:line="264" w:lineRule="auto"/>
              <w:ind w:left="750" w:hanging="425"/>
              <w:rPr>
                <w:rFonts w:eastAsia="Calibri" w:cs="Arial"/>
              </w:rPr>
            </w:pPr>
            <w:r w:rsidRPr="00392D7F">
              <w:rPr>
                <w:rFonts w:eastAsia="Calibri" w:cs="Arial"/>
              </w:rPr>
              <w:t xml:space="preserve">6.68 Stroud District has an important legacy of heritage and cultural assets, including over 3,300 listed buildings, 41 conservation areas, 14 registered historic parks and gardens and 68 scheduled monuments. There are additionally a wide range of undesignated historic buildings, archaeological sites and remains, and historic parks and gardens, as well as places, areas, </w:t>
            </w:r>
            <w:proofErr w:type="gramStart"/>
            <w:r w:rsidRPr="00392D7F">
              <w:rPr>
                <w:rFonts w:eastAsia="Calibri" w:cs="Arial"/>
              </w:rPr>
              <w:lastRenderedPageBreak/>
              <w:t>landscapes</w:t>
            </w:r>
            <w:proofErr w:type="gramEnd"/>
            <w:r w:rsidRPr="00392D7F">
              <w:rPr>
                <w:rFonts w:eastAsia="Calibri" w:cs="Arial"/>
              </w:rPr>
              <w:t xml:space="preserve"> and structures of local historic interest.  Undesignated local heritage assets may be identified locally, including through the definition of ‘local listing’ criteria in </w:t>
            </w:r>
            <w:r w:rsidRPr="00392D7F">
              <w:rPr>
                <w:rFonts w:eastAsia="Calibri" w:cs="Arial"/>
                <w:b/>
              </w:rPr>
              <w:t>Neighbourhood Development Plans</w:t>
            </w:r>
            <w:r w:rsidRPr="00392D7F">
              <w:rPr>
                <w:rFonts w:eastAsia="Calibri" w:cs="Arial"/>
              </w:rPr>
              <w:t xml:space="preserve">, as well as incidentally through the development management process. </w:t>
            </w:r>
          </w:p>
          <w:p w14:paraId="7255F114" w14:textId="79225B3D" w:rsidR="00023B36" w:rsidRPr="00392D7F" w:rsidRDefault="00023B36" w:rsidP="00C34789">
            <w:pPr>
              <w:tabs>
                <w:tab w:val="left" w:pos="750"/>
              </w:tabs>
              <w:spacing w:before="200" w:after="200" w:line="264" w:lineRule="auto"/>
              <w:ind w:left="750" w:hanging="426"/>
              <w:rPr>
                <w:rFonts w:eastAsia="Calibri" w:cs="Times New Roman"/>
                <w:u w:val="single"/>
              </w:rPr>
            </w:pPr>
            <w:r w:rsidRPr="00392D7F">
              <w:rPr>
                <w:rFonts w:eastAsia="Calibri" w:cs="Arial"/>
                <w:u w:val="single"/>
              </w:rPr>
              <w:t>6.69</w:t>
            </w:r>
            <w:r w:rsidRPr="00392D7F">
              <w:rPr>
                <w:rFonts w:eastAsia="Calibri" w:cs="Arial"/>
                <w:u w:val="single"/>
              </w:rPr>
              <w:tab/>
            </w:r>
            <w:r w:rsidRPr="00392D7F">
              <w:rPr>
                <w:rFonts w:eastAsia="Calibri" w:cs="Arial"/>
                <w:bCs/>
                <w:u w:val="single"/>
              </w:rPr>
              <w:t xml:space="preserve">Stroud District’s location at a strategic pinch-point between the Cotswold hills and the </w:t>
            </w:r>
            <w:proofErr w:type="gramStart"/>
            <w:r w:rsidRPr="00392D7F">
              <w:rPr>
                <w:rFonts w:eastAsia="Calibri" w:cs="Arial"/>
                <w:bCs/>
                <w:u w:val="single"/>
              </w:rPr>
              <w:t>River</w:t>
            </w:r>
            <w:proofErr w:type="gramEnd"/>
            <w:r w:rsidRPr="00392D7F">
              <w:rPr>
                <w:rFonts w:eastAsia="Calibri" w:cs="Arial"/>
                <w:bCs/>
                <w:u w:val="single"/>
              </w:rPr>
              <w:t xml:space="preserve"> Severn has left us a particular legacy of visible and buried remains, from the earliest prehistoric settlement through Roman and medieval habitation, the ancient wool trade to international shipping and industrial revolution. Over centuries, agriculture, defence, </w:t>
            </w:r>
            <w:proofErr w:type="gramStart"/>
            <w:r w:rsidRPr="00392D7F">
              <w:rPr>
                <w:rFonts w:eastAsia="Calibri" w:cs="Arial"/>
                <w:bCs/>
                <w:u w:val="single"/>
              </w:rPr>
              <w:t>trade</w:t>
            </w:r>
            <w:proofErr w:type="gramEnd"/>
            <w:r w:rsidRPr="00392D7F">
              <w:rPr>
                <w:rFonts w:eastAsia="Calibri" w:cs="Arial"/>
                <w:bCs/>
                <w:u w:val="single"/>
              </w:rPr>
              <w:t xml:space="preserve"> and industry have left their mark on our towns, villages and landscape</w:t>
            </w:r>
            <w:r w:rsidRPr="00392D7F">
              <w:rPr>
                <w:rFonts w:eastAsia="Calibri" w:cs="Times New Roman"/>
                <w:u w:val="single"/>
              </w:rPr>
              <w:t>. From iron age hill forts to Berkeley Castle and WWII pillboxes; pack-horse tracks to canals and railway stations; towering mill chimneys to tiny weavers’</w:t>
            </w:r>
            <w:r>
              <w:rPr>
                <w:rFonts w:eastAsia="Calibri" w:cs="Times New Roman"/>
                <w:u w:val="single"/>
              </w:rPr>
              <w:t xml:space="preserve"> </w:t>
            </w:r>
            <w:r w:rsidRPr="00392D7F">
              <w:rPr>
                <w:rFonts w:eastAsia="Calibri" w:cs="Times New Roman"/>
                <w:u w:val="single"/>
              </w:rPr>
              <w:t xml:space="preserve">cottages; ridge-and-furrow fields to Arts &amp; Crafts gardens. Our historic buildings and areas display the types of building materials, architectural styles, urban </w:t>
            </w:r>
            <w:proofErr w:type="gramStart"/>
            <w:r w:rsidRPr="00392D7F">
              <w:rPr>
                <w:rFonts w:eastAsia="Calibri" w:cs="Times New Roman"/>
                <w:u w:val="single"/>
              </w:rPr>
              <w:t>grain</w:t>
            </w:r>
            <w:proofErr w:type="gramEnd"/>
            <w:r w:rsidRPr="00392D7F">
              <w:rPr>
                <w:rFonts w:eastAsia="Calibri" w:cs="Times New Roman"/>
                <w:u w:val="single"/>
              </w:rPr>
              <w:t xml:space="preserve"> and settlement patterns that typify our part of Gloucestershire; they highlight the diversity of character to be found across our District, including in each of the Parish Clusters.  </w:t>
            </w:r>
          </w:p>
          <w:p w14:paraId="660E7829" w14:textId="3613335D" w:rsidR="00023B36" w:rsidRPr="00392D7F" w:rsidRDefault="00023B36" w:rsidP="00C34789">
            <w:pPr>
              <w:tabs>
                <w:tab w:val="left" w:pos="750"/>
              </w:tabs>
              <w:spacing w:before="200" w:after="200" w:line="264" w:lineRule="auto"/>
              <w:ind w:left="750" w:hanging="426"/>
              <w:rPr>
                <w:rFonts w:eastAsia="Calibri" w:cs="Arial"/>
              </w:rPr>
            </w:pPr>
            <w:r w:rsidRPr="00392D7F">
              <w:rPr>
                <w:rFonts w:eastAsia="Calibri" w:cs="Arial"/>
                <w:u w:val="single"/>
              </w:rPr>
              <w:t>6.70</w:t>
            </w:r>
            <w:r w:rsidRPr="00392D7F">
              <w:rPr>
                <w:rFonts w:eastAsia="Calibri" w:cs="Arial"/>
                <w:u w:val="single"/>
              </w:rPr>
              <w:tab/>
            </w:r>
            <w:r w:rsidRPr="00392D7F">
              <w:rPr>
                <w:rFonts w:eastAsia="Calibri" w:cs="Arial"/>
              </w:rPr>
              <w:t xml:space="preserve">Information about heritage assets can be found in the </w:t>
            </w:r>
            <w:r w:rsidRPr="00392D7F">
              <w:rPr>
                <w:rFonts w:eastAsia="Calibri" w:cs="Arial"/>
                <w:b/>
              </w:rPr>
              <w:t>Gloucestershire Historic Environment Record (HER)</w:t>
            </w:r>
            <w:r w:rsidRPr="00392D7F">
              <w:rPr>
                <w:rFonts w:eastAsia="Calibri" w:cs="Arial"/>
              </w:rPr>
              <w:t xml:space="preserve">. </w:t>
            </w:r>
            <w:r w:rsidRPr="00392D7F">
              <w:rPr>
                <w:rFonts w:eastAsia="Calibri" w:cs="Arial"/>
                <w:u w:val="single"/>
              </w:rPr>
              <w:t xml:space="preserve">The Council has produced a </w:t>
            </w:r>
            <w:r w:rsidRPr="00392D7F">
              <w:rPr>
                <w:rFonts w:eastAsia="Calibri" w:cs="Arial"/>
                <w:b/>
                <w:u w:val="single"/>
              </w:rPr>
              <w:t>Heritage Strategy</w:t>
            </w:r>
            <w:r w:rsidRPr="00392D7F">
              <w:rPr>
                <w:rFonts w:eastAsia="Calibri" w:cs="Arial"/>
                <w:bCs/>
                <w:u w:val="single"/>
              </w:rPr>
              <w:t xml:space="preserve">, which provides some pointers about how to identify what is significant about a heritage asset and how the diverse range of assets located throughout Stroud District fit together to build a picture of our geographic and historic ‘story’. </w:t>
            </w:r>
            <w:r w:rsidRPr="00392D7F">
              <w:rPr>
                <w:rFonts w:eastAsia="Calibri" w:cs="Arial"/>
                <w:u w:val="single"/>
              </w:rPr>
              <w:t xml:space="preserve">The Council has adopted </w:t>
            </w:r>
            <w:r w:rsidRPr="00392D7F">
              <w:rPr>
                <w:rFonts w:eastAsia="Calibri" w:cs="Arial"/>
                <w:b/>
                <w:bCs/>
                <w:u w:val="single"/>
              </w:rPr>
              <w:t>Conservation Area Statements</w:t>
            </w:r>
            <w:r w:rsidRPr="00392D7F">
              <w:rPr>
                <w:rFonts w:eastAsia="Calibri" w:cs="Arial"/>
                <w:u w:val="single"/>
              </w:rPr>
              <w:t xml:space="preserve"> for a number of the </w:t>
            </w:r>
            <w:proofErr w:type="gramStart"/>
            <w:r w:rsidRPr="00392D7F">
              <w:rPr>
                <w:rFonts w:eastAsia="Calibri" w:cs="Arial"/>
                <w:u w:val="single"/>
              </w:rPr>
              <w:t>District’s</w:t>
            </w:r>
            <w:proofErr w:type="gramEnd"/>
            <w:r w:rsidRPr="00392D7F">
              <w:rPr>
                <w:rFonts w:eastAsia="Calibri" w:cs="Arial"/>
                <w:u w:val="single"/>
              </w:rPr>
              <w:t xml:space="preserve"> conservation areas, which provide supplementary planning advice and information about each area’s character and special architectural and historic </w:t>
            </w:r>
            <w:r w:rsidRPr="00C34789">
              <w:rPr>
                <w:rFonts w:eastAsia="Calibri" w:cs="Arial"/>
                <w:u w:val="single"/>
              </w:rPr>
              <w:t xml:space="preserve">interest. Sites that have been subject to </w:t>
            </w:r>
            <w:r w:rsidRPr="00C34789">
              <w:rPr>
                <w:rFonts w:eastAsia="Calibri" w:cs="Arial"/>
                <w:b/>
                <w:bCs/>
                <w:u w:val="single"/>
              </w:rPr>
              <w:t>Strategic Assessment of Land Availability (SALA)</w:t>
            </w:r>
            <w:r w:rsidRPr="00C34789">
              <w:rPr>
                <w:rFonts w:eastAsia="Calibri" w:cs="Arial"/>
                <w:u w:val="single"/>
              </w:rPr>
              <w:t xml:space="preserve"> have been assessed for potential heritage impacts; high level </w:t>
            </w:r>
            <w:r w:rsidRPr="00C34789">
              <w:rPr>
                <w:rFonts w:eastAsia="Calibri" w:cs="Arial"/>
                <w:b/>
                <w:bCs/>
                <w:u w:val="single"/>
              </w:rPr>
              <w:t>SALA Heritage Impact Assessments (HIAs)</w:t>
            </w:r>
            <w:r w:rsidRPr="00C34789">
              <w:rPr>
                <w:rFonts w:eastAsia="Calibri" w:cs="Arial"/>
                <w:u w:val="single"/>
              </w:rPr>
              <w:t xml:space="preserve"> have been published for sites where particular sensitivities were identified, including opportunities to conserve or enhance the historic environment through new development. In developing proposals for </w:t>
            </w:r>
            <w:r w:rsidRPr="00C34789">
              <w:rPr>
                <w:rFonts w:eastAsia="Calibri" w:cs="Arial"/>
                <w:b/>
                <w:bCs/>
                <w:u w:val="single"/>
              </w:rPr>
              <w:t>Local and Strategic Site Allocations</w:t>
            </w:r>
            <w:r w:rsidRPr="00C34789">
              <w:rPr>
                <w:rFonts w:eastAsia="Calibri" w:cs="Arial"/>
                <w:u w:val="single"/>
              </w:rPr>
              <w:t xml:space="preserve">, reference should be made to the relevant </w:t>
            </w:r>
            <w:r w:rsidRPr="00C34789">
              <w:rPr>
                <w:rFonts w:eastAsia="Calibri" w:cs="Arial"/>
                <w:b/>
                <w:bCs/>
                <w:u w:val="single"/>
              </w:rPr>
              <w:t>SALA HIA</w:t>
            </w:r>
            <w:r w:rsidRPr="00C34789">
              <w:rPr>
                <w:rFonts w:eastAsia="Calibri" w:cs="Arial"/>
                <w:u w:val="single"/>
              </w:rPr>
              <w:t xml:space="preserve">, if the allocation policy highlights heritage-related impacts as a particular issue to address. </w:t>
            </w:r>
            <w:r w:rsidRPr="00C34789">
              <w:rPr>
                <w:rFonts w:eastAsia="Calibri" w:cs="Arial"/>
                <w:b/>
                <w:bCs/>
                <w:u w:val="single"/>
              </w:rPr>
              <w:t>The</w:t>
            </w:r>
            <w:r w:rsidRPr="00392D7F">
              <w:rPr>
                <w:rFonts w:eastAsia="Calibri" w:cs="Arial"/>
                <w:b/>
                <w:bCs/>
                <w:u w:val="single"/>
              </w:rPr>
              <w:t xml:space="preserve"> Cotswolds AONB Management Plan</w:t>
            </w:r>
            <w:r w:rsidRPr="00392D7F">
              <w:rPr>
                <w:rFonts w:eastAsia="Calibri" w:cs="Arial"/>
                <w:u w:val="single"/>
              </w:rPr>
              <w:t xml:space="preserve">, prepared by the </w:t>
            </w:r>
            <w:r w:rsidRPr="00392D7F">
              <w:rPr>
                <w:rFonts w:eastAsia="Calibri" w:cs="Arial"/>
                <w:b/>
                <w:bCs/>
                <w:u w:val="single"/>
              </w:rPr>
              <w:t>Cotswolds Conservation Board</w:t>
            </w:r>
            <w:r w:rsidRPr="00000510">
              <w:rPr>
                <w:rFonts w:eastAsia="Calibri" w:cs="Arial"/>
                <w:u w:val="single"/>
              </w:rPr>
              <w:t>,</w:t>
            </w:r>
            <w:r w:rsidRPr="00392D7F">
              <w:rPr>
                <w:rFonts w:eastAsia="Calibri" w:cs="Arial"/>
                <w:u w:val="single"/>
              </w:rPr>
              <w:t xml:space="preserve"> is a material consideration when considering development proposals within the AONB.</w:t>
            </w:r>
            <w:r w:rsidRPr="00392D7F">
              <w:rPr>
                <w:rFonts w:eastAsia="Calibri" w:cs="Arial"/>
              </w:rPr>
              <w:t xml:space="preserve">  </w:t>
            </w:r>
          </w:p>
          <w:p w14:paraId="5424AC50" w14:textId="77777777" w:rsidR="00023B36" w:rsidRPr="00392D7F" w:rsidRDefault="00023B36" w:rsidP="00C34789">
            <w:pPr>
              <w:tabs>
                <w:tab w:val="left" w:pos="750"/>
              </w:tabs>
              <w:spacing w:after="120" w:line="264" w:lineRule="auto"/>
              <w:ind w:left="750" w:hanging="851"/>
              <w:rPr>
                <w:rFonts w:eastAsia="Calibri" w:cs="Arial"/>
              </w:rPr>
            </w:pPr>
            <w:r w:rsidRPr="00392D7F">
              <w:rPr>
                <w:rFonts w:eastAsia="Calibri" w:cs="Arial"/>
                <w:u w:val="single"/>
              </w:rPr>
              <w:t xml:space="preserve">6.71 </w:t>
            </w:r>
            <w:r w:rsidRPr="00392D7F">
              <w:rPr>
                <w:rFonts w:eastAsia="Calibri" w:cs="Arial"/>
                <w:strike/>
              </w:rPr>
              <w:t>6.69</w:t>
            </w:r>
            <w:r w:rsidRPr="00392D7F">
              <w:rPr>
                <w:rFonts w:eastAsia="Calibri" w:cs="Arial"/>
              </w:rPr>
              <w:tab/>
              <w:t xml:space="preserve">The Council’s </w:t>
            </w:r>
            <w:r w:rsidRPr="00392D7F">
              <w:rPr>
                <w:rFonts w:eastAsia="Calibri" w:cs="Arial"/>
                <w:strike/>
              </w:rPr>
              <w:t>has produced a</w:t>
            </w:r>
            <w:r w:rsidRPr="00392D7F">
              <w:rPr>
                <w:rFonts w:eastAsia="Calibri" w:cs="Arial"/>
              </w:rPr>
              <w:t xml:space="preserve"> </w:t>
            </w:r>
            <w:r w:rsidRPr="00392D7F">
              <w:rPr>
                <w:rFonts w:eastAsia="Calibri" w:cs="Arial"/>
                <w:b/>
              </w:rPr>
              <w:t>Heritage Strategy</w:t>
            </w:r>
            <w:r w:rsidRPr="00392D7F">
              <w:rPr>
                <w:rFonts w:eastAsia="Calibri" w:cs="Arial"/>
              </w:rPr>
              <w:t xml:space="preserve"> </w:t>
            </w:r>
            <w:r w:rsidRPr="00392D7F">
              <w:rPr>
                <w:rFonts w:eastAsia="Calibri" w:cs="Arial"/>
                <w:u w:val="single"/>
              </w:rPr>
              <w:t xml:space="preserve">seeks </w:t>
            </w:r>
            <w:r w:rsidRPr="00392D7F">
              <w:rPr>
                <w:rFonts w:eastAsia="Calibri" w:cs="Arial"/>
              </w:rPr>
              <w:t>to positively address the issues and pressures that are facing our heritage assets, including a programme for the appraisal and management of our conservation areas and the monitoring of any heritage assets “at risk”. The strategy is framed around four priorities:</w:t>
            </w:r>
          </w:p>
          <w:p w14:paraId="1DF356BA" w14:textId="77777777" w:rsidR="00023B36" w:rsidRPr="00392D7F" w:rsidRDefault="00023B36" w:rsidP="00C34789">
            <w:pPr>
              <w:numPr>
                <w:ilvl w:val="0"/>
                <w:numId w:val="7"/>
              </w:numPr>
              <w:tabs>
                <w:tab w:val="left" w:pos="284"/>
              </w:tabs>
              <w:spacing w:after="200" w:line="264" w:lineRule="auto"/>
              <w:ind w:left="1175"/>
              <w:contextualSpacing/>
              <w:rPr>
                <w:rFonts w:eastAsia="Calibri" w:cs="Arial"/>
              </w:rPr>
            </w:pPr>
            <w:r w:rsidRPr="00392D7F">
              <w:rPr>
                <w:rFonts w:eastAsia="Calibri" w:cs="Arial"/>
              </w:rPr>
              <w:t>Understanding our heritage and its significance</w:t>
            </w:r>
          </w:p>
          <w:p w14:paraId="1B52D2FF" w14:textId="77777777" w:rsidR="00023B36" w:rsidRPr="00392D7F" w:rsidRDefault="00023B36" w:rsidP="00C34789">
            <w:pPr>
              <w:numPr>
                <w:ilvl w:val="0"/>
                <w:numId w:val="7"/>
              </w:numPr>
              <w:tabs>
                <w:tab w:val="left" w:pos="284"/>
              </w:tabs>
              <w:spacing w:after="200" w:line="264" w:lineRule="auto"/>
              <w:ind w:left="1175"/>
              <w:contextualSpacing/>
              <w:rPr>
                <w:rFonts w:eastAsia="Calibri" w:cs="Arial"/>
              </w:rPr>
            </w:pPr>
            <w:r w:rsidRPr="00392D7F">
              <w:rPr>
                <w:rFonts w:eastAsia="Calibri" w:cs="Arial"/>
              </w:rPr>
              <w:t>Capitalising on our heritage</w:t>
            </w:r>
          </w:p>
          <w:p w14:paraId="537547AB" w14:textId="77777777" w:rsidR="00023B36" w:rsidRPr="00392D7F" w:rsidRDefault="00023B36" w:rsidP="00C34789">
            <w:pPr>
              <w:numPr>
                <w:ilvl w:val="0"/>
                <w:numId w:val="7"/>
              </w:numPr>
              <w:tabs>
                <w:tab w:val="left" w:pos="284"/>
              </w:tabs>
              <w:spacing w:after="200" w:line="264" w:lineRule="auto"/>
              <w:ind w:left="1175"/>
              <w:contextualSpacing/>
              <w:rPr>
                <w:rFonts w:eastAsia="Calibri" w:cs="Arial"/>
              </w:rPr>
            </w:pPr>
            <w:r w:rsidRPr="00392D7F">
              <w:rPr>
                <w:rFonts w:eastAsia="Calibri" w:cs="Arial"/>
              </w:rPr>
              <w:t>Positive management</w:t>
            </w:r>
          </w:p>
          <w:p w14:paraId="554B4C74" w14:textId="77777777" w:rsidR="00023B36" w:rsidRPr="00392D7F" w:rsidRDefault="00023B36" w:rsidP="00C34789">
            <w:pPr>
              <w:numPr>
                <w:ilvl w:val="0"/>
                <w:numId w:val="7"/>
              </w:numPr>
              <w:tabs>
                <w:tab w:val="left" w:pos="284"/>
              </w:tabs>
              <w:spacing w:after="200" w:line="264" w:lineRule="auto"/>
              <w:ind w:left="1175"/>
              <w:rPr>
                <w:rFonts w:eastAsia="Calibri" w:cs="Arial"/>
              </w:rPr>
            </w:pPr>
            <w:r w:rsidRPr="00392D7F">
              <w:rPr>
                <w:rFonts w:eastAsia="Calibri" w:cs="Arial"/>
              </w:rPr>
              <w:t xml:space="preserve">Raising our heritage up the agenda </w:t>
            </w:r>
          </w:p>
          <w:p w14:paraId="44C0D61B" w14:textId="77777777" w:rsidR="00023B36" w:rsidRPr="00392D7F" w:rsidRDefault="00023B36" w:rsidP="00C34789">
            <w:pPr>
              <w:tabs>
                <w:tab w:val="left" w:pos="892"/>
              </w:tabs>
              <w:spacing w:before="240" w:after="200" w:line="264" w:lineRule="auto"/>
              <w:ind w:left="750" w:hanging="851"/>
              <w:rPr>
                <w:rFonts w:eastAsia="Calibri" w:cs="Arial"/>
              </w:rPr>
            </w:pPr>
            <w:r w:rsidRPr="00392D7F">
              <w:rPr>
                <w:rFonts w:eastAsia="Calibri" w:cs="Arial"/>
                <w:u w:val="single"/>
              </w:rPr>
              <w:t>6.72</w:t>
            </w:r>
            <w:r w:rsidRPr="00392D7F">
              <w:rPr>
                <w:rFonts w:eastAsia="Calibri" w:cs="Arial"/>
              </w:rPr>
              <w:t xml:space="preserve"> </w:t>
            </w:r>
            <w:r w:rsidRPr="00392D7F">
              <w:rPr>
                <w:rFonts w:eastAsia="Calibri" w:cs="Arial"/>
                <w:strike/>
              </w:rPr>
              <w:t>6.70</w:t>
            </w:r>
            <w:r w:rsidRPr="00392D7F">
              <w:rPr>
                <w:rFonts w:eastAsia="Calibri" w:cs="Arial"/>
              </w:rPr>
              <w:tab/>
            </w:r>
            <w:r w:rsidRPr="00392D7F">
              <w:rPr>
                <w:rFonts w:eastAsia="Calibri" w:cs="Arial"/>
                <w:u w:val="single"/>
              </w:rPr>
              <w:t>Heritage assets may be affected by direct physical change or by change in their setting.</w:t>
            </w:r>
            <w:r w:rsidRPr="00392D7F">
              <w:rPr>
                <w:rFonts w:eastAsia="Calibri" w:cs="Arial"/>
              </w:rPr>
              <w:t xml:space="preserve"> Applications for development that affects heritage assets</w:t>
            </w:r>
            <w:r w:rsidRPr="00392D7F">
              <w:rPr>
                <w:rFonts w:eastAsia="Calibri" w:cs="Times New Roman"/>
              </w:rPr>
              <w:t xml:space="preserve"> </w:t>
            </w:r>
            <w:r w:rsidRPr="00392D7F">
              <w:rPr>
                <w:rFonts w:eastAsia="Calibri" w:cs="Arial"/>
                <w:strike/>
              </w:rPr>
              <w:t xml:space="preserve">and </w:t>
            </w:r>
            <w:r w:rsidRPr="00392D7F">
              <w:rPr>
                <w:rFonts w:eastAsia="Calibri" w:cs="Arial"/>
                <w:u w:val="single"/>
              </w:rPr>
              <w:t>or</w:t>
            </w:r>
            <w:r w:rsidRPr="00392D7F">
              <w:rPr>
                <w:rFonts w:eastAsia="Calibri" w:cs="Arial"/>
              </w:rPr>
              <w:t xml:space="preserve"> their settings directly or indirectly </w:t>
            </w:r>
            <w:r w:rsidRPr="00392D7F">
              <w:rPr>
                <w:rFonts w:eastAsia="Calibri" w:cs="Arial"/>
                <w:u w:val="single"/>
              </w:rPr>
              <w:t xml:space="preserve">must be supported by a </w:t>
            </w:r>
            <w:r w:rsidRPr="00392D7F">
              <w:rPr>
                <w:rFonts w:eastAsia="Calibri" w:cs="Arial"/>
                <w:b/>
                <w:bCs/>
                <w:u w:val="single"/>
              </w:rPr>
              <w:t>Heritage Statement</w:t>
            </w:r>
            <w:r w:rsidRPr="00392D7F">
              <w:rPr>
                <w:rFonts w:eastAsia="Calibri" w:cs="Arial"/>
                <w:u w:val="single"/>
              </w:rPr>
              <w:t xml:space="preserve">. This can be part of a </w:t>
            </w:r>
            <w:r w:rsidRPr="00392D7F">
              <w:rPr>
                <w:rFonts w:eastAsia="Calibri" w:cs="Arial"/>
                <w:b/>
                <w:bCs/>
                <w:u w:val="single"/>
              </w:rPr>
              <w:t>Design and Access Statement</w:t>
            </w:r>
            <w:r w:rsidRPr="00392D7F">
              <w:rPr>
                <w:rFonts w:eastAsia="Calibri" w:cs="Arial"/>
                <w:u w:val="single"/>
              </w:rPr>
              <w:t xml:space="preserve"> where appropriate. This</w:t>
            </w:r>
            <w:r w:rsidRPr="00392D7F">
              <w:rPr>
                <w:rFonts w:eastAsia="Calibri" w:cs="Arial"/>
              </w:rPr>
              <w:t xml:space="preserve"> will need to describe the nature of the significance of the assets affected </w:t>
            </w:r>
            <w:r w:rsidRPr="00392D7F">
              <w:rPr>
                <w:rFonts w:eastAsia="Calibri" w:cs="Arial"/>
                <w:lang w:val="en"/>
              </w:rPr>
              <w:t>(including any contribution made by their setting)</w:t>
            </w:r>
            <w:r w:rsidRPr="00392D7F">
              <w:rPr>
                <w:rFonts w:eastAsia="Calibri" w:cs="Arial"/>
              </w:rPr>
              <w:t>, and</w:t>
            </w:r>
            <w:r w:rsidRPr="00392D7F">
              <w:rPr>
                <w:rFonts w:eastAsia="Calibri" w:cs="Arial"/>
                <w:u w:val="single"/>
              </w:rPr>
              <w:t xml:space="preserve"> to</w:t>
            </w:r>
            <w:r w:rsidRPr="00392D7F">
              <w:rPr>
                <w:rFonts w:eastAsia="Calibri" w:cs="Arial"/>
              </w:rPr>
              <w:t xml:space="preserve"> set out how development will conserve or enhance the heritage assets and their settings in a manner appropriate to that significance. </w:t>
            </w:r>
            <w:r w:rsidRPr="00392D7F">
              <w:rPr>
                <w:rFonts w:eastAsia="Calibri" w:cs="Arial"/>
                <w:lang w:val="en"/>
              </w:rPr>
              <w:t xml:space="preserve">The level of detail should be proportionate to the asset’s </w:t>
            </w:r>
            <w:r w:rsidRPr="00392D7F">
              <w:rPr>
                <w:rFonts w:eastAsia="Calibri" w:cs="Arial"/>
                <w:lang w:val="en"/>
              </w:rPr>
              <w:lastRenderedPageBreak/>
              <w:t xml:space="preserve">importance and sufficient to understand the potential impact of the proposal on its significance. </w:t>
            </w:r>
          </w:p>
          <w:p w14:paraId="34E2AD17" w14:textId="77777777" w:rsidR="00023B36" w:rsidRPr="00392D7F" w:rsidRDefault="00023B36" w:rsidP="00C34789">
            <w:pPr>
              <w:tabs>
                <w:tab w:val="left" w:pos="750"/>
              </w:tabs>
              <w:spacing w:after="120" w:line="264" w:lineRule="auto"/>
              <w:ind w:left="750" w:hanging="851"/>
              <w:rPr>
                <w:rFonts w:eastAsia="Calibri" w:cs="Arial"/>
              </w:rPr>
            </w:pPr>
            <w:r w:rsidRPr="00392D7F">
              <w:rPr>
                <w:rFonts w:eastAsia="Calibri" w:cs="Arial"/>
                <w:u w:val="single"/>
              </w:rPr>
              <w:t>6.73</w:t>
            </w:r>
            <w:r w:rsidRPr="00392D7F">
              <w:rPr>
                <w:rFonts w:eastAsia="Calibri" w:cs="Arial"/>
              </w:rPr>
              <w:t xml:space="preserve"> </w:t>
            </w:r>
            <w:r w:rsidRPr="00392D7F">
              <w:rPr>
                <w:rFonts w:eastAsia="Calibri" w:cs="Arial"/>
                <w:strike/>
              </w:rPr>
              <w:t>6.71</w:t>
            </w:r>
            <w:r w:rsidRPr="00392D7F">
              <w:rPr>
                <w:rFonts w:eastAsia="Calibri" w:cs="Arial"/>
              </w:rPr>
              <w:t xml:space="preserve"> A</w:t>
            </w:r>
            <w:r w:rsidRPr="00392D7F">
              <w:rPr>
                <w:rFonts w:eastAsia="Calibri" w:cs="Arial"/>
                <w:b/>
              </w:rPr>
              <w:t xml:space="preserve"> Heritage Statement </w:t>
            </w:r>
            <w:r w:rsidRPr="00392D7F">
              <w:rPr>
                <w:rFonts w:eastAsia="Calibri" w:cs="Arial"/>
              </w:rPr>
              <w:t>will be required for development proposals that will have a potential impact on any of the designated or undesignated assets listed in (</w:t>
            </w:r>
            <w:proofErr w:type="spellStart"/>
            <w:r w:rsidRPr="00392D7F">
              <w:rPr>
                <w:rFonts w:eastAsia="Calibri" w:cs="Arial"/>
              </w:rPr>
              <w:t>i</w:t>
            </w:r>
            <w:proofErr w:type="spellEnd"/>
            <w:r w:rsidRPr="00392D7F">
              <w:rPr>
                <w:rFonts w:eastAsia="Calibri" w:cs="Arial"/>
              </w:rPr>
              <w:t>)-(vi) and for any major development proposal:</w:t>
            </w:r>
          </w:p>
          <w:p w14:paraId="771718AE" w14:textId="77777777" w:rsidR="00023B36" w:rsidRPr="00392D7F" w:rsidRDefault="00023B36" w:rsidP="00C34789">
            <w:pPr>
              <w:numPr>
                <w:ilvl w:val="0"/>
                <w:numId w:val="8"/>
              </w:numPr>
              <w:tabs>
                <w:tab w:val="left" w:pos="284"/>
              </w:tabs>
              <w:spacing w:after="200" w:line="264" w:lineRule="auto"/>
              <w:ind w:left="1317"/>
              <w:contextualSpacing/>
              <w:rPr>
                <w:rFonts w:eastAsia="Calibri" w:cs="Arial"/>
              </w:rPr>
            </w:pPr>
            <w:r w:rsidRPr="00392D7F">
              <w:rPr>
                <w:rFonts w:eastAsia="Calibri" w:cs="Arial"/>
              </w:rPr>
              <w:t xml:space="preserve">conservation </w:t>
            </w:r>
            <w:proofErr w:type="gramStart"/>
            <w:r w:rsidRPr="00392D7F">
              <w:rPr>
                <w:rFonts w:eastAsia="Calibri" w:cs="Arial"/>
              </w:rPr>
              <w:t>areas</w:t>
            </w:r>
            <w:r w:rsidRPr="00392D7F">
              <w:rPr>
                <w:rFonts w:eastAsia="Calibri" w:cs="Arial"/>
                <w:strike/>
              </w:rPr>
              <w:t>;</w:t>
            </w:r>
            <w:r w:rsidRPr="00392D7F">
              <w:rPr>
                <w:rFonts w:eastAsia="Calibri" w:cs="Arial"/>
                <w:u w:val="single"/>
              </w:rPr>
              <w:t>,</w:t>
            </w:r>
            <w:proofErr w:type="gramEnd"/>
            <w:r w:rsidRPr="00392D7F">
              <w:rPr>
                <w:rFonts w:eastAsia="Calibri" w:cs="Arial"/>
              </w:rPr>
              <w:t xml:space="preserve"> listed buildings and scheduled ancient monuments;</w:t>
            </w:r>
          </w:p>
          <w:p w14:paraId="4C1AB66F" w14:textId="77777777" w:rsidR="00023B36" w:rsidRPr="00392D7F" w:rsidRDefault="00023B36" w:rsidP="00C34789">
            <w:pPr>
              <w:numPr>
                <w:ilvl w:val="0"/>
                <w:numId w:val="8"/>
              </w:numPr>
              <w:tabs>
                <w:tab w:val="left" w:pos="284"/>
              </w:tabs>
              <w:spacing w:after="200" w:line="264" w:lineRule="auto"/>
              <w:ind w:left="1317"/>
              <w:contextualSpacing/>
              <w:rPr>
                <w:rFonts w:eastAsia="Calibri" w:cs="Arial"/>
              </w:rPr>
            </w:pPr>
            <w:r w:rsidRPr="00392D7F">
              <w:rPr>
                <w:rFonts w:eastAsia="Calibri" w:cs="Arial"/>
              </w:rPr>
              <w:t xml:space="preserve">the character of the historic cores of the market towns and </w:t>
            </w:r>
            <w:proofErr w:type="gramStart"/>
            <w:r w:rsidRPr="00392D7F">
              <w:rPr>
                <w:rFonts w:eastAsia="Calibri" w:cs="Arial"/>
              </w:rPr>
              <w:t>villages;</w:t>
            </w:r>
            <w:proofErr w:type="gramEnd"/>
          </w:p>
          <w:p w14:paraId="37D59777" w14:textId="77777777" w:rsidR="00023B36" w:rsidRPr="00392D7F" w:rsidRDefault="00023B36" w:rsidP="00C34789">
            <w:pPr>
              <w:numPr>
                <w:ilvl w:val="0"/>
                <w:numId w:val="8"/>
              </w:numPr>
              <w:tabs>
                <w:tab w:val="left" w:pos="284"/>
              </w:tabs>
              <w:spacing w:after="200" w:line="264" w:lineRule="auto"/>
              <w:ind w:left="1317"/>
              <w:contextualSpacing/>
              <w:rPr>
                <w:rFonts w:eastAsia="Calibri" w:cs="Arial"/>
              </w:rPr>
            </w:pPr>
            <w:r w:rsidRPr="00392D7F">
              <w:rPr>
                <w:rFonts w:eastAsia="Calibri" w:cs="Arial"/>
                <w:u w:val="single"/>
              </w:rPr>
              <w:t xml:space="preserve">historic </w:t>
            </w:r>
            <w:r w:rsidRPr="00392D7F">
              <w:rPr>
                <w:rFonts w:eastAsia="Calibri" w:cs="Arial"/>
              </w:rPr>
              <w:t xml:space="preserve">landscape features, including ancient woodlands and veteran trees; field patterns; watercourses; drainage ditches and hedgerows of visual, historic or nature conservation </w:t>
            </w:r>
            <w:proofErr w:type="gramStart"/>
            <w:r w:rsidRPr="00392D7F">
              <w:rPr>
                <w:rFonts w:eastAsia="Calibri" w:cs="Arial"/>
              </w:rPr>
              <w:t>value;</w:t>
            </w:r>
            <w:proofErr w:type="gramEnd"/>
          </w:p>
          <w:p w14:paraId="18209397" w14:textId="77777777" w:rsidR="00023B36" w:rsidRPr="00392D7F" w:rsidRDefault="00023B36" w:rsidP="00C34789">
            <w:pPr>
              <w:numPr>
                <w:ilvl w:val="0"/>
                <w:numId w:val="8"/>
              </w:numPr>
              <w:tabs>
                <w:tab w:val="left" w:pos="284"/>
              </w:tabs>
              <w:spacing w:after="200" w:line="264" w:lineRule="auto"/>
              <w:ind w:left="1317"/>
              <w:contextualSpacing/>
              <w:rPr>
                <w:rFonts w:eastAsia="Calibri" w:cs="Arial"/>
              </w:rPr>
            </w:pPr>
            <w:r w:rsidRPr="00392D7F">
              <w:rPr>
                <w:rFonts w:eastAsia="Calibri" w:cs="Arial"/>
              </w:rPr>
              <w:t xml:space="preserve">archaeological </w:t>
            </w:r>
            <w:proofErr w:type="gramStart"/>
            <w:r w:rsidRPr="00392D7F">
              <w:rPr>
                <w:rFonts w:eastAsia="Calibri" w:cs="Arial"/>
              </w:rPr>
              <w:t>remains;</w:t>
            </w:r>
            <w:proofErr w:type="gramEnd"/>
            <w:r w:rsidRPr="00392D7F">
              <w:rPr>
                <w:rFonts w:eastAsia="Calibri" w:cs="Arial"/>
              </w:rPr>
              <w:t xml:space="preserve"> </w:t>
            </w:r>
          </w:p>
          <w:p w14:paraId="34CAB5CA" w14:textId="77777777" w:rsidR="00023B36" w:rsidRPr="00392D7F" w:rsidRDefault="00023B36" w:rsidP="00C34789">
            <w:pPr>
              <w:numPr>
                <w:ilvl w:val="0"/>
                <w:numId w:val="8"/>
              </w:numPr>
              <w:tabs>
                <w:tab w:val="left" w:pos="284"/>
              </w:tabs>
              <w:spacing w:line="264" w:lineRule="auto"/>
              <w:ind w:left="1317" w:hanging="357"/>
              <w:rPr>
                <w:rFonts w:eastAsia="Calibri" w:cs="Arial"/>
              </w:rPr>
            </w:pPr>
            <w:r w:rsidRPr="00392D7F">
              <w:rPr>
                <w:rFonts w:eastAsia="Calibri" w:cs="Arial"/>
              </w:rPr>
              <w:t>historic parks and gardens; and</w:t>
            </w:r>
          </w:p>
          <w:p w14:paraId="5FACC71F" w14:textId="77777777" w:rsidR="00023B36" w:rsidRPr="00392D7F" w:rsidRDefault="00023B36" w:rsidP="00C34789">
            <w:pPr>
              <w:numPr>
                <w:ilvl w:val="0"/>
                <w:numId w:val="8"/>
              </w:numPr>
              <w:tabs>
                <w:tab w:val="left" w:pos="284"/>
              </w:tabs>
              <w:spacing w:after="120" w:line="264" w:lineRule="auto"/>
              <w:ind w:left="1317" w:hanging="357"/>
              <w:rPr>
                <w:rFonts w:eastAsia="Calibri" w:cs="Arial"/>
              </w:rPr>
            </w:pPr>
            <w:r w:rsidRPr="00392D7F">
              <w:rPr>
                <w:rFonts w:eastAsia="Calibri" w:cs="Arial"/>
              </w:rPr>
              <w:t>assets of local heritage significance.</w:t>
            </w:r>
          </w:p>
          <w:p w14:paraId="025FC7B5" w14:textId="77777777" w:rsidR="00023B36" w:rsidRPr="00392D7F" w:rsidRDefault="00023B36" w:rsidP="00C34789">
            <w:pPr>
              <w:spacing w:before="240" w:after="200" w:line="264" w:lineRule="auto"/>
              <w:ind w:left="750" w:hanging="851"/>
              <w:rPr>
                <w:rFonts w:eastAsia="Calibri" w:cs="Arial"/>
              </w:rPr>
            </w:pPr>
            <w:r w:rsidRPr="00392D7F">
              <w:rPr>
                <w:rFonts w:eastAsia="Calibri" w:cs="Arial"/>
                <w:u w:val="single"/>
              </w:rPr>
              <w:t>6.74</w:t>
            </w:r>
            <w:r w:rsidRPr="00392D7F">
              <w:rPr>
                <w:rFonts w:eastAsia="Calibri" w:cs="Arial"/>
              </w:rPr>
              <w:t xml:space="preserve"> </w:t>
            </w:r>
            <w:r w:rsidRPr="00392D7F">
              <w:rPr>
                <w:rFonts w:eastAsia="Calibri" w:cs="Arial"/>
                <w:strike/>
              </w:rPr>
              <w:t>6.72</w:t>
            </w:r>
            <w:r w:rsidRPr="00392D7F">
              <w:rPr>
                <w:rFonts w:eastAsia="Calibri" w:cs="Arial"/>
                <w:b/>
              </w:rPr>
              <w:tab/>
            </w:r>
            <w:r w:rsidRPr="00392D7F">
              <w:rPr>
                <w:rFonts w:eastAsia="Calibri" w:cs="Arial"/>
              </w:rPr>
              <w:t xml:space="preserve">Development proposals that involve any harm to or loss of a heritage asset would require clear and convincing justification, in accordance with the </w:t>
            </w:r>
            <w:r w:rsidRPr="00392D7F">
              <w:rPr>
                <w:rFonts w:eastAsia="Calibri" w:cs="Arial"/>
                <w:b/>
              </w:rPr>
              <w:t>NPPF</w:t>
            </w:r>
            <w:r w:rsidRPr="00392D7F">
              <w:rPr>
                <w:rFonts w:eastAsia="Calibri" w:cs="Arial"/>
              </w:rPr>
              <w:t>.  A development proposal will not be permitted where substantial harm to a designated heritage asset is likely to occur</w:t>
            </w:r>
            <w:r w:rsidRPr="00392D7F">
              <w:rPr>
                <w:rFonts w:eastAsia="Calibri" w:cs="Arial"/>
                <w:u w:val="single"/>
              </w:rPr>
              <w:t>,</w:t>
            </w:r>
            <w:r w:rsidRPr="00392D7F">
              <w:rPr>
                <w:rFonts w:eastAsia="Calibri" w:cs="Arial"/>
              </w:rPr>
              <w:t xml:space="preserve"> unless demonstrably outweighed by substantial public benefits, which cannot be realised in any less harmful way. </w:t>
            </w:r>
            <w:r w:rsidRPr="00392D7F">
              <w:rPr>
                <w:rFonts w:eastAsia="Calibri" w:cs="Arial"/>
                <w:u w:val="single"/>
              </w:rPr>
              <w:t xml:space="preserve">The effect of proposed development on the significance of any non-designated heritage assets will be </w:t>
            </w:r>
            <w:proofErr w:type="gramStart"/>
            <w:r w:rsidRPr="00392D7F">
              <w:rPr>
                <w:rFonts w:eastAsia="Calibri" w:cs="Arial"/>
                <w:u w:val="single"/>
              </w:rPr>
              <w:t>taken into account</w:t>
            </w:r>
            <w:proofErr w:type="gramEnd"/>
            <w:r w:rsidRPr="00392D7F">
              <w:rPr>
                <w:rFonts w:eastAsia="Calibri" w:cs="Arial"/>
                <w:u w:val="single"/>
              </w:rPr>
              <w:t xml:space="preserve"> when determining planning applications, as part of a balanced judgement.</w:t>
            </w:r>
            <w:r w:rsidRPr="00392D7F">
              <w:rPr>
                <w:rFonts w:eastAsia="Calibri" w:cs="Arial"/>
              </w:rPr>
              <w:t xml:space="preserve"> </w:t>
            </w:r>
          </w:p>
          <w:p w14:paraId="2F7D1D42" w14:textId="77777777" w:rsidR="00023B36" w:rsidRPr="00392D7F" w:rsidRDefault="00023B36" w:rsidP="00C34789">
            <w:pPr>
              <w:tabs>
                <w:tab w:val="left" w:pos="750"/>
              </w:tabs>
              <w:spacing w:after="120" w:line="264" w:lineRule="auto"/>
              <w:ind w:left="750" w:hanging="851"/>
              <w:rPr>
                <w:rFonts w:eastAsia="Calibri" w:cs="Arial"/>
              </w:rPr>
            </w:pPr>
            <w:r w:rsidRPr="00392D7F">
              <w:rPr>
                <w:rFonts w:eastAsia="Calibri" w:cs="Arial"/>
                <w:u w:val="single"/>
              </w:rPr>
              <w:t>6.75</w:t>
            </w:r>
            <w:r w:rsidRPr="00392D7F">
              <w:rPr>
                <w:rFonts w:eastAsia="Calibri" w:cs="Arial"/>
              </w:rPr>
              <w:t xml:space="preserve"> </w:t>
            </w:r>
            <w:r w:rsidRPr="00392D7F">
              <w:rPr>
                <w:rFonts w:eastAsia="Calibri" w:cs="Arial"/>
                <w:strike/>
              </w:rPr>
              <w:t>6.73</w:t>
            </w:r>
            <w:r w:rsidRPr="00392D7F">
              <w:rPr>
                <w:rFonts w:eastAsia="Calibri" w:cs="Arial"/>
                <w:lang w:val="en"/>
              </w:rPr>
              <w:tab/>
              <w:t>As an irreplaceable resource, the historic environment is crucial to sustainable development in Stroud District, ensuring that our heritage can be enjoyed for its contribution to the quality of life of existing and future generations</w:t>
            </w:r>
            <w:r w:rsidRPr="00392D7F">
              <w:rPr>
                <w:rFonts w:eastAsia="Calibri" w:cs="Arial"/>
              </w:rPr>
              <w:t>. The Council recognises that in some instances the pursuit of carbon neutrality and energy efficiency will be difficult in the historic environment. Nevertheless, the criteria contained in this policy will apply, where such measures require permission. As a general principle, alterations will be viewed more favourably where:</w:t>
            </w:r>
          </w:p>
          <w:p w14:paraId="6DD830C9" w14:textId="77777777" w:rsidR="00023B36" w:rsidRPr="00392D7F" w:rsidRDefault="00023B36" w:rsidP="00C34789">
            <w:pPr>
              <w:numPr>
                <w:ilvl w:val="0"/>
                <w:numId w:val="9"/>
              </w:numPr>
              <w:tabs>
                <w:tab w:val="left" w:pos="284"/>
              </w:tabs>
              <w:spacing w:line="264" w:lineRule="auto"/>
              <w:ind w:left="1317" w:hanging="357"/>
              <w:rPr>
                <w:rFonts w:eastAsia="Calibri" w:cs="Arial"/>
              </w:rPr>
            </w:pPr>
            <w:r w:rsidRPr="00392D7F">
              <w:rPr>
                <w:rFonts w:eastAsia="Calibri" w:cs="Arial"/>
              </w:rPr>
              <w:t>measures can be reversed or removed, as and when the technology becomes obsolete or is superseded; and</w:t>
            </w:r>
          </w:p>
          <w:p w14:paraId="19D48EA0" w14:textId="77777777" w:rsidR="00023B36" w:rsidRPr="00392D7F" w:rsidRDefault="00023B36" w:rsidP="00C34789">
            <w:pPr>
              <w:numPr>
                <w:ilvl w:val="0"/>
                <w:numId w:val="9"/>
              </w:numPr>
              <w:tabs>
                <w:tab w:val="left" w:pos="284"/>
              </w:tabs>
              <w:spacing w:after="120" w:line="264" w:lineRule="auto"/>
              <w:ind w:left="1317" w:hanging="357"/>
              <w:rPr>
                <w:rFonts w:eastAsia="Calibri" w:cs="Arial"/>
              </w:rPr>
            </w:pPr>
            <w:r w:rsidRPr="00392D7F">
              <w:rPr>
                <w:rFonts w:eastAsia="Calibri" w:cs="Arial"/>
              </w:rPr>
              <w:t>alterations are designed and located to be as visually inconspicuous as possible.</w:t>
            </w:r>
          </w:p>
          <w:p w14:paraId="0A70507E" w14:textId="77777777" w:rsidR="00023B36" w:rsidRPr="00392D7F" w:rsidRDefault="00023B36" w:rsidP="00C34789">
            <w:pPr>
              <w:ind w:left="750"/>
            </w:pPr>
            <w:r w:rsidRPr="00392D7F">
              <w:rPr>
                <w:rFonts w:eastAsia="Calibri" w:cs="Arial"/>
              </w:rPr>
              <w:t>The Council will seek to produce further advice on achieving carbon neutrality and energy efficiency in the historic environment.</w:t>
            </w:r>
          </w:p>
          <w:p w14:paraId="418B6441" w14:textId="77777777" w:rsidR="00023B36" w:rsidRPr="00392D7F" w:rsidRDefault="00023B36" w:rsidP="00C34789">
            <w:pPr>
              <w:spacing w:before="120"/>
            </w:pPr>
          </w:p>
        </w:tc>
        <w:tc>
          <w:tcPr>
            <w:tcW w:w="4380" w:type="dxa"/>
          </w:tcPr>
          <w:p w14:paraId="38B920D8" w14:textId="77777777" w:rsidR="00023B36" w:rsidRPr="003001F9" w:rsidRDefault="00023B36" w:rsidP="00C34789">
            <w:r w:rsidRPr="003001F9">
              <w:lastRenderedPageBreak/>
              <w:t>Carry out a “health check” of Delivery Policy ES10 criterion 2, particularly 2B, and consider whether the supporting text could be changed (is the policy too specific about certain types of remains, should it be more general with specific examples set out in the supporting text? Are the examples cited in the policy locally representative?)</w:t>
            </w:r>
          </w:p>
          <w:p w14:paraId="464DA678" w14:textId="77777777" w:rsidR="00023B36" w:rsidRPr="004C69F3" w:rsidRDefault="00023B36" w:rsidP="00C34789"/>
        </w:tc>
        <w:tc>
          <w:tcPr>
            <w:tcW w:w="1699" w:type="dxa"/>
          </w:tcPr>
          <w:p w14:paraId="6B45D60B" w14:textId="40CABEF6" w:rsidR="00023B36" w:rsidRPr="004C69F3" w:rsidRDefault="00023B36" w:rsidP="00C34789">
            <w:r>
              <w:t>Completed</w:t>
            </w:r>
          </w:p>
        </w:tc>
      </w:tr>
      <w:tr w:rsidR="00023B36" w14:paraId="6696F096" w14:textId="77777777" w:rsidTr="00023B36">
        <w:tc>
          <w:tcPr>
            <w:tcW w:w="1485" w:type="dxa"/>
            <w:vMerge/>
          </w:tcPr>
          <w:p w14:paraId="0C7C65B2" w14:textId="4A126B1A" w:rsidR="00023B36" w:rsidRPr="004C69F3" w:rsidRDefault="00023B36" w:rsidP="00C34789"/>
        </w:tc>
        <w:tc>
          <w:tcPr>
            <w:tcW w:w="829" w:type="dxa"/>
            <w:vMerge/>
          </w:tcPr>
          <w:p w14:paraId="1B560F0B" w14:textId="1C1FC50C" w:rsidR="00023B36" w:rsidRPr="0036083C" w:rsidRDefault="00023B36" w:rsidP="00C34789"/>
        </w:tc>
        <w:tc>
          <w:tcPr>
            <w:tcW w:w="9532" w:type="dxa"/>
            <w:vMerge/>
          </w:tcPr>
          <w:p w14:paraId="4F8BE75F" w14:textId="77777777" w:rsidR="00023B36" w:rsidRPr="004C69F3" w:rsidRDefault="00023B36" w:rsidP="00C34789">
            <w:pPr>
              <w:numPr>
                <w:ilvl w:val="0"/>
                <w:numId w:val="4"/>
              </w:numPr>
              <w:spacing w:before="120"/>
              <w:ind w:left="325" w:hanging="284"/>
            </w:pPr>
          </w:p>
        </w:tc>
        <w:tc>
          <w:tcPr>
            <w:tcW w:w="4380" w:type="dxa"/>
          </w:tcPr>
          <w:p w14:paraId="0932A641" w14:textId="77777777" w:rsidR="00023B36" w:rsidRDefault="00023B36" w:rsidP="00C34789">
            <w:r w:rsidRPr="00A61346">
              <w:t>Review</w:t>
            </w:r>
            <w:r>
              <w:t xml:space="preserve"> Criterion 5 and</w:t>
            </w:r>
            <w:r w:rsidRPr="00A61346">
              <w:t xml:space="preserve"> supporting text in para. 6.70 and 6.72 </w:t>
            </w:r>
            <w:proofErr w:type="gramStart"/>
            <w:r w:rsidRPr="00A61346">
              <w:t>in light of</w:t>
            </w:r>
            <w:proofErr w:type="gramEnd"/>
            <w:r w:rsidRPr="00A61346">
              <w:t xml:space="preserve"> objections relating to a) conservation of assets may not </w:t>
            </w:r>
            <w:r>
              <w:t xml:space="preserve">always </w:t>
            </w:r>
            <w:r w:rsidRPr="00A61346">
              <w:t>be possible</w:t>
            </w:r>
            <w:r>
              <w:t>,</w:t>
            </w:r>
            <w:r w:rsidRPr="00A61346">
              <w:t xml:space="preserve"> b) no test for less than substantial harm</w:t>
            </w:r>
            <w:r>
              <w:t>, and c) no differentiation between designated and non-designated assets</w:t>
            </w:r>
            <w:r w:rsidRPr="00A61346">
              <w:t>.</w:t>
            </w:r>
            <w:r>
              <w:t xml:space="preserve"> Ref. NPPF paras. 196 and 200-203</w:t>
            </w:r>
          </w:p>
          <w:p w14:paraId="1092EBA1" w14:textId="77777777" w:rsidR="00023B36" w:rsidRPr="004C69F3" w:rsidRDefault="00023B36" w:rsidP="00C34789"/>
        </w:tc>
        <w:tc>
          <w:tcPr>
            <w:tcW w:w="1699" w:type="dxa"/>
          </w:tcPr>
          <w:p w14:paraId="3FE8F1F4" w14:textId="2B6A7B72" w:rsidR="00023B36" w:rsidRPr="004C69F3" w:rsidRDefault="00023B36" w:rsidP="00C34789">
            <w:r>
              <w:t>Completed</w:t>
            </w:r>
          </w:p>
        </w:tc>
      </w:tr>
      <w:tr w:rsidR="00023B36" w14:paraId="5DB96F29" w14:textId="77777777" w:rsidTr="00023B36">
        <w:tc>
          <w:tcPr>
            <w:tcW w:w="1485" w:type="dxa"/>
            <w:vMerge/>
          </w:tcPr>
          <w:p w14:paraId="47988741" w14:textId="3FA394D8" w:rsidR="00023B36" w:rsidRPr="004C69F3" w:rsidRDefault="00023B36" w:rsidP="00C34789"/>
        </w:tc>
        <w:tc>
          <w:tcPr>
            <w:tcW w:w="829" w:type="dxa"/>
            <w:vMerge/>
          </w:tcPr>
          <w:p w14:paraId="41899D82" w14:textId="77777777" w:rsidR="00023B36" w:rsidRPr="0036083C" w:rsidRDefault="00023B36" w:rsidP="00C34789"/>
        </w:tc>
        <w:tc>
          <w:tcPr>
            <w:tcW w:w="9532" w:type="dxa"/>
            <w:vMerge/>
          </w:tcPr>
          <w:p w14:paraId="576C5659" w14:textId="77777777" w:rsidR="00023B36" w:rsidRPr="004C69F3" w:rsidRDefault="00023B36" w:rsidP="00C34789">
            <w:pPr>
              <w:numPr>
                <w:ilvl w:val="0"/>
                <w:numId w:val="4"/>
              </w:numPr>
              <w:spacing w:before="120"/>
              <w:ind w:left="325" w:hanging="284"/>
            </w:pPr>
          </w:p>
        </w:tc>
        <w:tc>
          <w:tcPr>
            <w:tcW w:w="4380" w:type="dxa"/>
          </w:tcPr>
          <w:p w14:paraId="20B75A7C" w14:textId="2D8BFC3F" w:rsidR="00023B36" w:rsidRPr="00C34789" w:rsidRDefault="00023B36" w:rsidP="00C34789">
            <w:r w:rsidRPr="00C34789">
              <w:t xml:space="preserve">Address outstanding Historic England </w:t>
            </w:r>
            <w:proofErr w:type="spellStart"/>
            <w:r w:rsidRPr="00C34789">
              <w:t>SoCG</w:t>
            </w:r>
            <w:proofErr w:type="spellEnd"/>
            <w:r w:rsidRPr="00C34789">
              <w:t xml:space="preserve"> concern about pointing to SALA advice and evidence to inform site allocations </w:t>
            </w:r>
          </w:p>
        </w:tc>
        <w:tc>
          <w:tcPr>
            <w:tcW w:w="1699" w:type="dxa"/>
          </w:tcPr>
          <w:p w14:paraId="51950A50" w14:textId="5E27BD4D" w:rsidR="00023B36" w:rsidRPr="004C69F3" w:rsidRDefault="00023B36" w:rsidP="00C34789">
            <w:r>
              <w:t>Completed</w:t>
            </w:r>
          </w:p>
        </w:tc>
      </w:tr>
      <w:tr w:rsidR="00023B36" w14:paraId="10E73DDF" w14:textId="77777777" w:rsidTr="00023B36">
        <w:trPr>
          <w:trHeight w:val="4750"/>
        </w:trPr>
        <w:tc>
          <w:tcPr>
            <w:tcW w:w="1485" w:type="dxa"/>
            <w:vMerge/>
          </w:tcPr>
          <w:p w14:paraId="0BD8A48E" w14:textId="77777777" w:rsidR="00023B36" w:rsidRDefault="00023B36" w:rsidP="003001F9"/>
        </w:tc>
        <w:tc>
          <w:tcPr>
            <w:tcW w:w="829" w:type="dxa"/>
            <w:vMerge/>
          </w:tcPr>
          <w:p w14:paraId="112D8E04" w14:textId="77777777" w:rsidR="00023B36" w:rsidRPr="0036083C" w:rsidRDefault="00023B36" w:rsidP="003001F9"/>
        </w:tc>
        <w:tc>
          <w:tcPr>
            <w:tcW w:w="9532" w:type="dxa"/>
            <w:vMerge/>
          </w:tcPr>
          <w:p w14:paraId="1BADEC4C" w14:textId="77777777" w:rsidR="00023B36" w:rsidRPr="0027042C" w:rsidRDefault="00023B36" w:rsidP="003001F9">
            <w:pPr>
              <w:rPr>
                <w:b/>
                <w:bCs/>
                <w:sz w:val="28"/>
                <w:szCs w:val="28"/>
              </w:rPr>
            </w:pPr>
          </w:p>
        </w:tc>
        <w:tc>
          <w:tcPr>
            <w:tcW w:w="4380" w:type="dxa"/>
          </w:tcPr>
          <w:p w14:paraId="7A4EE5F7" w14:textId="68D3478D" w:rsidR="00023B36" w:rsidRPr="00A61346" w:rsidRDefault="00023B36" w:rsidP="003001F9"/>
        </w:tc>
        <w:tc>
          <w:tcPr>
            <w:tcW w:w="1699" w:type="dxa"/>
            <w:vMerge w:val="restart"/>
          </w:tcPr>
          <w:p w14:paraId="0849C3BF" w14:textId="77777777" w:rsidR="00023B36" w:rsidRDefault="00023B36" w:rsidP="003001F9"/>
        </w:tc>
      </w:tr>
      <w:tr w:rsidR="00023B36" w14:paraId="2FAB2A01" w14:textId="77777777" w:rsidTr="00023B36">
        <w:trPr>
          <w:trHeight w:val="4750"/>
        </w:trPr>
        <w:tc>
          <w:tcPr>
            <w:tcW w:w="1485" w:type="dxa"/>
            <w:vMerge/>
          </w:tcPr>
          <w:p w14:paraId="123D526E" w14:textId="77777777" w:rsidR="00023B36" w:rsidRDefault="00023B36" w:rsidP="003001F9"/>
        </w:tc>
        <w:tc>
          <w:tcPr>
            <w:tcW w:w="829" w:type="dxa"/>
            <w:vMerge/>
          </w:tcPr>
          <w:p w14:paraId="55900533" w14:textId="77777777" w:rsidR="00023B36" w:rsidRPr="0036083C" w:rsidRDefault="00023B36" w:rsidP="003001F9"/>
        </w:tc>
        <w:tc>
          <w:tcPr>
            <w:tcW w:w="9532" w:type="dxa"/>
            <w:vMerge/>
          </w:tcPr>
          <w:p w14:paraId="11245B0F" w14:textId="77777777" w:rsidR="00023B36" w:rsidRPr="0027042C" w:rsidRDefault="00023B36" w:rsidP="003001F9">
            <w:pPr>
              <w:rPr>
                <w:b/>
                <w:bCs/>
                <w:sz w:val="28"/>
                <w:szCs w:val="28"/>
              </w:rPr>
            </w:pPr>
          </w:p>
        </w:tc>
        <w:tc>
          <w:tcPr>
            <w:tcW w:w="4380" w:type="dxa"/>
          </w:tcPr>
          <w:p w14:paraId="3AC606A5" w14:textId="77777777" w:rsidR="00023B36" w:rsidRPr="00A61346" w:rsidRDefault="00023B36" w:rsidP="003001F9"/>
        </w:tc>
        <w:tc>
          <w:tcPr>
            <w:tcW w:w="1699" w:type="dxa"/>
            <w:vMerge/>
          </w:tcPr>
          <w:p w14:paraId="5EDF1811" w14:textId="77777777" w:rsidR="00023B36" w:rsidRDefault="00023B36" w:rsidP="003001F9"/>
        </w:tc>
      </w:tr>
      <w:tr w:rsidR="00023B36" w14:paraId="414E18F3" w14:textId="446AD1AC" w:rsidTr="00023B36">
        <w:tc>
          <w:tcPr>
            <w:tcW w:w="1485" w:type="dxa"/>
          </w:tcPr>
          <w:p w14:paraId="4B39861F" w14:textId="4C6391AD" w:rsidR="00023B36" w:rsidRPr="004C69F3" w:rsidRDefault="00023B36" w:rsidP="003001F9">
            <w:bookmarkStart w:id="3" w:name="_Hlk130546144"/>
            <w:r w:rsidRPr="004C69F3">
              <w:t>Matter 10c</w:t>
            </w:r>
          </w:p>
        </w:tc>
        <w:tc>
          <w:tcPr>
            <w:tcW w:w="829" w:type="dxa"/>
          </w:tcPr>
          <w:p w14:paraId="430D3BA2" w14:textId="77777777" w:rsidR="00023B36" w:rsidRPr="004C69F3" w:rsidRDefault="00023B36" w:rsidP="003001F9"/>
        </w:tc>
        <w:tc>
          <w:tcPr>
            <w:tcW w:w="9532" w:type="dxa"/>
          </w:tcPr>
          <w:p w14:paraId="343A70ED" w14:textId="1A9AE343" w:rsidR="00023B36" w:rsidRPr="004C69F3" w:rsidRDefault="00023B36" w:rsidP="003001F9">
            <w:r w:rsidRPr="004C69F3">
              <w:t>Additional modification:</w:t>
            </w:r>
          </w:p>
          <w:p w14:paraId="5C906AFC" w14:textId="77777777" w:rsidR="00023B36" w:rsidRPr="004C69F3" w:rsidRDefault="00023B36" w:rsidP="003001F9"/>
          <w:p w14:paraId="624C60CE" w14:textId="4C3B238C" w:rsidR="00023B36" w:rsidRPr="004C69F3" w:rsidRDefault="00023B36" w:rsidP="003001F9">
            <w:r w:rsidRPr="004C69F3">
              <w:t xml:space="preserve">Para. 6.78 2The Council </w:t>
            </w:r>
            <w:r w:rsidRPr="004C69F3">
              <w:rPr>
                <w:strike/>
              </w:rPr>
              <w:t>is producing</w:t>
            </w:r>
            <w:r w:rsidRPr="004C69F3">
              <w:t xml:space="preserve"> </w:t>
            </w:r>
            <w:r w:rsidRPr="004C69F3">
              <w:rPr>
                <w:u w:val="single"/>
              </w:rPr>
              <w:t>has produced</w:t>
            </w:r>
            <w:r w:rsidRPr="004C69F3">
              <w:t xml:space="preserve"> a Canal Strategy to develop a whole corridor approach to the </w:t>
            </w:r>
            <w:proofErr w:type="gramStart"/>
            <w:r w:rsidRPr="004C69F3">
              <w:t>District’s</w:t>
            </w:r>
            <w:proofErr w:type="gramEnd"/>
            <w:r w:rsidRPr="004C69F3">
              <w:t xml:space="preserve"> canals. The Strategy </w:t>
            </w:r>
            <w:r w:rsidRPr="004C69F3">
              <w:rPr>
                <w:strike/>
              </w:rPr>
              <w:t>will identify</w:t>
            </w:r>
            <w:r w:rsidRPr="004C69F3">
              <w:t xml:space="preserve"> </w:t>
            </w:r>
            <w:r w:rsidRPr="004C69F3">
              <w:rPr>
                <w:u w:val="single"/>
              </w:rPr>
              <w:t>identifies</w:t>
            </w:r>
            <w:r w:rsidRPr="004C69F3">
              <w:t xml:space="preserve"> further opportunities to develop the canals as a resource to maximise the social, economic and environmental wellbeing of the </w:t>
            </w:r>
            <w:proofErr w:type="gramStart"/>
            <w:r w:rsidRPr="004C69F3">
              <w:t>District</w:t>
            </w:r>
            <w:proofErr w:type="gramEnd"/>
            <w:r w:rsidRPr="004C69F3">
              <w:t xml:space="preserve"> and its communities.”</w:t>
            </w:r>
          </w:p>
          <w:p w14:paraId="4881DDFF" w14:textId="272AB84C" w:rsidR="00023B36" w:rsidRPr="004C69F3" w:rsidRDefault="00023B36" w:rsidP="003001F9"/>
        </w:tc>
        <w:tc>
          <w:tcPr>
            <w:tcW w:w="4380" w:type="dxa"/>
          </w:tcPr>
          <w:p w14:paraId="392E53B5" w14:textId="6D22E043" w:rsidR="00023B36" w:rsidRPr="004C69F3" w:rsidRDefault="00023B36" w:rsidP="003001F9">
            <w:r w:rsidRPr="004C69F3">
              <w:t>To reflect the publication of the Canals Strategy.</w:t>
            </w:r>
          </w:p>
        </w:tc>
        <w:tc>
          <w:tcPr>
            <w:tcW w:w="1699" w:type="dxa"/>
          </w:tcPr>
          <w:p w14:paraId="50FA8F45" w14:textId="5FF56627" w:rsidR="00023B36" w:rsidRPr="004C69F3" w:rsidRDefault="00023B36" w:rsidP="003001F9">
            <w:r w:rsidRPr="004C69F3">
              <w:t>Completed.</w:t>
            </w:r>
          </w:p>
        </w:tc>
      </w:tr>
      <w:tr w:rsidR="00023B36" w14:paraId="5B272306" w14:textId="37573776" w:rsidTr="00023B36">
        <w:tc>
          <w:tcPr>
            <w:tcW w:w="1485" w:type="dxa"/>
          </w:tcPr>
          <w:p w14:paraId="6C200614" w14:textId="2F4BC061" w:rsidR="00023B36" w:rsidRPr="004C69F3" w:rsidRDefault="00023B36" w:rsidP="003001F9">
            <w:r w:rsidRPr="004C69F3">
              <w:t>Matter 10c</w:t>
            </w:r>
          </w:p>
        </w:tc>
        <w:tc>
          <w:tcPr>
            <w:tcW w:w="829" w:type="dxa"/>
          </w:tcPr>
          <w:p w14:paraId="6B27F605" w14:textId="77777777" w:rsidR="00023B36" w:rsidRPr="004C69F3" w:rsidRDefault="00023B36" w:rsidP="003001F9"/>
        </w:tc>
        <w:tc>
          <w:tcPr>
            <w:tcW w:w="9532" w:type="dxa"/>
          </w:tcPr>
          <w:p w14:paraId="2228B0AB" w14:textId="6DB59BD4" w:rsidR="00023B36" w:rsidRPr="004C69F3" w:rsidRDefault="00023B36" w:rsidP="003001F9">
            <w:r w:rsidRPr="004C69F3">
              <w:t>Add to Policies Map:</w:t>
            </w:r>
          </w:p>
          <w:p w14:paraId="2E125CCA" w14:textId="271799BA" w:rsidR="00023B36" w:rsidRPr="004C69F3" w:rsidRDefault="00023B36" w:rsidP="003001F9">
            <w:r w:rsidRPr="004C69F3">
              <w:t>Existing canals and historic routes of the canals</w:t>
            </w:r>
            <w:r>
              <w:t xml:space="preserve"> (where not restored) (also check missing mile is shown for restoration)</w:t>
            </w:r>
          </w:p>
          <w:p w14:paraId="23962B5F" w14:textId="54830C21" w:rsidR="00023B36" w:rsidRPr="004C69F3" w:rsidRDefault="00023B36" w:rsidP="003001F9"/>
        </w:tc>
        <w:tc>
          <w:tcPr>
            <w:tcW w:w="4380" w:type="dxa"/>
          </w:tcPr>
          <w:p w14:paraId="530AA9F6" w14:textId="2431A9AF" w:rsidR="00023B36" w:rsidRPr="004C69F3" w:rsidRDefault="00023B36" w:rsidP="003001F9">
            <w:r w:rsidRPr="004C69F3">
              <w:t>To clarify the routes of the canals as agreed in the Matters Statement</w:t>
            </w:r>
          </w:p>
        </w:tc>
        <w:tc>
          <w:tcPr>
            <w:tcW w:w="1699" w:type="dxa"/>
          </w:tcPr>
          <w:p w14:paraId="27F78B33" w14:textId="7B86F335" w:rsidR="00023B36" w:rsidRPr="004C69F3" w:rsidRDefault="00023B36" w:rsidP="003001F9">
            <w:r>
              <w:t>Amendments to the Policies Map will be made.</w:t>
            </w:r>
          </w:p>
        </w:tc>
      </w:tr>
      <w:bookmarkEnd w:id="3"/>
    </w:tbl>
    <w:p w14:paraId="7BBFFAAC" w14:textId="22377A67" w:rsidR="00BC7105" w:rsidRDefault="00BC7105"/>
    <w:sectPr w:rsidR="00BC7105" w:rsidSect="00DD0FA5">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92A"/>
    <w:multiLevelType w:val="hybridMultilevel"/>
    <w:tmpl w:val="DA9E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C15CC"/>
    <w:multiLevelType w:val="hybridMultilevel"/>
    <w:tmpl w:val="B9E2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11019"/>
    <w:multiLevelType w:val="hybridMultilevel"/>
    <w:tmpl w:val="866697DE"/>
    <w:lvl w:ilvl="0" w:tplc="0809001B">
      <w:start w:val="1"/>
      <w:numFmt w:val="low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389D24C3"/>
    <w:multiLevelType w:val="hybridMultilevel"/>
    <w:tmpl w:val="29C2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62E79"/>
    <w:multiLevelType w:val="hybridMultilevel"/>
    <w:tmpl w:val="3E58326C"/>
    <w:lvl w:ilvl="0" w:tplc="1214D938">
      <w:start w:val="66"/>
      <w:numFmt w:val="decimal"/>
      <w:lvlText w:val="6.%1"/>
      <w:lvlJc w:val="left"/>
      <w:pPr>
        <w:ind w:left="1210" w:hanging="360"/>
      </w:pPr>
      <w:rPr>
        <w:rFonts w:hint="default"/>
        <w:b w:val="0"/>
        <w:i w:val="0"/>
        <w:color w:val="0080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C39C9"/>
    <w:multiLevelType w:val="multilevel"/>
    <w:tmpl w:val="013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0F6328"/>
    <w:multiLevelType w:val="hybridMultilevel"/>
    <w:tmpl w:val="558098DE"/>
    <w:lvl w:ilvl="0" w:tplc="14EAC12C">
      <w:start w:val="3"/>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7" w15:restartNumberingAfterBreak="0">
    <w:nsid w:val="5D716FA6"/>
    <w:multiLevelType w:val="hybridMultilevel"/>
    <w:tmpl w:val="29E0F84E"/>
    <w:lvl w:ilvl="0" w:tplc="2FD0AF4C">
      <w:start w:val="1"/>
      <w:numFmt w:val="bullet"/>
      <w:lvlText w:val=""/>
      <w:lvlJc w:val="left"/>
      <w:pPr>
        <w:ind w:left="720" w:hanging="360"/>
      </w:pPr>
      <w:rPr>
        <w:rFonts w:ascii="Symbol" w:hAnsi="Symbol" w:hint="default"/>
        <w:b w:val="0"/>
        <w:i w:val="0"/>
        <w:color w:val="auto"/>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CB13B2"/>
    <w:multiLevelType w:val="hybridMultilevel"/>
    <w:tmpl w:val="D97866B4"/>
    <w:lvl w:ilvl="0" w:tplc="90BAA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E91F6E"/>
    <w:multiLevelType w:val="hybridMultilevel"/>
    <w:tmpl w:val="0908DE26"/>
    <w:lvl w:ilvl="0" w:tplc="2FD0AF4C">
      <w:start w:val="1"/>
      <w:numFmt w:val="bullet"/>
      <w:lvlText w:val=""/>
      <w:lvlJc w:val="left"/>
      <w:pPr>
        <w:ind w:left="578" w:hanging="360"/>
      </w:pPr>
      <w:rPr>
        <w:rFonts w:ascii="Symbol" w:hAnsi="Symbol" w:hint="default"/>
        <w:b w:val="0"/>
        <w:color w:val="auto"/>
        <w:sz w:val="24"/>
        <w:szCs w:val="18"/>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74D674D0"/>
    <w:multiLevelType w:val="hybridMultilevel"/>
    <w:tmpl w:val="1D48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956123">
    <w:abstractNumId w:val="0"/>
  </w:num>
  <w:num w:numId="2" w16cid:durableId="71969796">
    <w:abstractNumId w:val="8"/>
  </w:num>
  <w:num w:numId="3" w16cid:durableId="133639745">
    <w:abstractNumId w:val="1"/>
  </w:num>
  <w:num w:numId="4" w16cid:durableId="2017807214">
    <w:abstractNumId w:val="10"/>
  </w:num>
  <w:num w:numId="5" w16cid:durableId="1640450364">
    <w:abstractNumId w:val="3"/>
  </w:num>
  <w:num w:numId="6" w16cid:durableId="1897279863">
    <w:abstractNumId w:val="6"/>
  </w:num>
  <w:num w:numId="7" w16cid:durableId="827748226">
    <w:abstractNumId w:val="9"/>
  </w:num>
  <w:num w:numId="8" w16cid:durableId="641428807">
    <w:abstractNumId w:val="2"/>
  </w:num>
  <w:num w:numId="9" w16cid:durableId="479619358">
    <w:abstractNumId w:val="7"/>
  </w:num>
  <w:num w:numId="10" w16cid:durableId="1630354766">
    <w:abstractNumId w:val="4"/>
  </w:num>
  <w:num w:numId="11" w16cid:durableId="309210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05"/>
    <w:rsid w:val="00000510"/>
    <w:rsid w:val="000052C7"/>
    <w:rsid w:val="000056FD"/>
    <w:rsid w:val="00023B36"/>
    <w:rsid w:val="0003406F"/>
    <w:rsid w:val="000362B4"/>
    <w:rsid w:val="00093631"/>
    <w:rsid w:val="000E384B"/>
    <w:rsid w:val="000E6AD5"/>
    <w:rsid w:val="001712E8"/>
    <w:rsid w:val="001A0425"/>
    <w:rsid w:val="001A30E4"/>
    <w:rsid w:val="001E4DC4"/>
    <w:rsid w:val="001F3687"/>
    <w:rsid w:val="0027042C"/>
    <w:rsid w:val="002859E6"/>
    <w:rsid w:val="002A6056"/>
    <w:rsid w:val="002B27EF"/>
    <w:rsid w:val="002D0320"/>
    <w:rsid w:val="003001F9"/>
    <w:rsid w:val="00316E7D"/>
    <w:rsid w:val="0036083C"/>
    <w:rsid w:val="00360A86"/>
    <w:rsid w:val="0037026B"/>
    <w:rsid w:val="003827C8"/>
    <w:rsid w:val="0038599F"/>
    <w:rsid w:val="00392D7F"/>
    <w:rsid w:val="0039503E"/>
    <w:rsid w:val="003B0390"/>
    <w:rsid w:val="003B4FC7"/>
    <w:rsid w:val="003E5E97"/>
    <w:rsid w:val="00407562"/>
    <w:rsid w:val="004152AC"/>
    <w:rsid w:val="00432597"/>
    <w:rsid w:val="00435793"/>
    <w:rsid w:val="00461C14"/>
    <w:rsid w:val="00465065"/>
    <w:rsid w:val="00467E81"/>
    <w:rsid w:val="004805AF"/>
    <w:rsid w:val="00486551"/>
    <w:rsid w:val="004867D4"/>
    <w:rsid w:val="0049447C"/>
    <w:rsid w:val="004C69F3"/>
    <w:rsid w:val="004D1EB0"/>
    <w:rsid w:val="004D410E"/>
    <w:rsid w:val="00517D81"/>
    <w:rsid w:val="00543F7A"/>
    <w:rsid w:val="00553926"/>
    <w:rsid w:val="00593014"/>
    <w:rsid w:val="005A031C"/>
    <w:rsid w:val="006160CF"/>
    <w:rsid w:val="006621AC"/>
    <w:rsid w:val="0067038B"/>
    <w:rsid w:val="00684271"/>
    <w:rsid w:val="00697FD1"/>
    <w:rsid w:val="006D7298"/>
    <w:rsid w:val="006F13FE"/>
    <w:rsid w:val="0070788B"/>
    <w:rsid w:val="00710D2D"/>
    <w:rsid w:val="00725E16"/>
    <w:rsid w:val="00755B89"/>
    <w:rsid w:val="007573C9"/>
    <w:rsid w:val="00763AC2"/>
    <w:rsid w:val="00765480"/>
    <w:rsid w:val="00770C6A"/>
    <w:rsid w:val="0077584B"/>
    <w:rsid w:val="00777F56"/>
    <w:rsid w:val="007F78CA"/>
    <w:rsid w:val="008117DE"/>
    <w:rsid w:val="00834805"/>
    <w:rsid w:val="00840F4B"/>
    <w:rsid w:val="008544BE"/>
    <w:rsid w:val="00862582"/>
    <w:rsid w:val="00863395"/>
    <w:rsid w:val="00900BB4"/>
    <w:rsid w:val="00920456"/>
    <w:rsid w:val="0093407E"/>
    <w:rsid w:val="00935C4D"/>
    <w:rsid w:val="009447D4"/>
    <w:rsid w:val="0097085B"/>
    <w:rsid w:val="00983AB7"/>
    <w:rsid w:val="00991DC8"/>
    <w:rsid w:val="009E0B33"/>
    <w:rsid w:val="00A06200"/>
    <w:rsid w:val="00A1493A"/>
    <w:rsid w:val="00A404CF"/>
    <w:rsid w:val="00A76039"/>
    <w:rsid w:val="00A854BC"/>
    <w:rsid w:val="00A864EA"/>
    <w:rsid w:val="00AB5834"/>
    <w:rsid w:val="00B139BA"/>
    <w:rsid w:val="00B27B4A"/>
    <w:rsid w:val="00BB2B51"/>
    <w:rsid w:val="00BB3F9F"/>
    <w:rsid w:val="00BC7105"/>
    <w:rsid w:val="00C159A5"/>
    <w:rsid w:val="00C1686D"/>
    <w:rsid w:val="00C273E6"/>
    <w:rsid w:val="00C32C2A"/>
    <w:rsid w:val="00C34789"/>
    <w:rsid w:val="00C60671"/>
    <w:rsid w:val="00C7280B"/>
    <w:rsid w:val="00C7567A"/>
    <w:rsid w:val="00C85E77"/>
    <w:rsid w:val="00CB2FD3"/>
    <w:rsid w:val="00CC6A1A"/>
    <w:rsid w:val="00CE6A83"/>
    <w:rsid w:val="00D35E0D"/>
    <w:rsid w:val="00D368E8"/>
    <w:rsid w:val="00D40477"/>
    <w:rsid w:val="00D77B05"/>
    <w:rsid w:val="00D86A7C"/>
    <w:rsid w:val="00DD0FA5"/>
    <w:rsid w:val="00E0489C"/>
    <w:rsid w:val="00E15D54"/>
    <w:rsid w:val="00E2740D"/>
    <w:rsid w:val="00E47EAB"/>
    <w:rsid w:val="00E653A8"/>
    <w:rsid w:val="00E73299"/>
    <w:rsid w:val="00E87EFA"/>
    <w:rsid w:val="00EA3E7C"/>
    <w:rsid w:val="00EB6199"/>
    <w:rsid w:val="00EC0519"/>
    <w:rsid w:val="00F433B9"/>
    <w:rsid w:val="00F66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D795"/>
  <w15:chartTrackingRefBased/>
  <w15:docId w15:val="{E3D68780-CFC5-4E4B-B738-900F4EDD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EB6199"/>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locked/>
    <w:rsid w:val="0036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0654">
      <w:bodyDiv w:val="1"/>
      <w:marLeft w:val="0"/>
      <w:marRight w:val="0"/>
      <w:marTop w:val="0"/>
      <w:marBottom w:val="0"/>
      <w:divBdr>
        <w:top w:val="none" w:sz="0" w:space="0" w:color="auto"/>
        <w:left w:val="none" w:sz="0" w:space="0" w:color="auto"/>
        <w:bottom w:val="none" w:sz="0" w:space="0" w:color="auto"/>
        <w:right w:val="none" w:sz="0" w:space="0" w:color="auto"/>
      </w:divBdr>
    </w:div>
    <w:div w:id="15994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9</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Tom</dc:creator>
  <cp:keywords/>
  <dc:description/>
  <cp:lastModifiedBy>Ridley, Tom</cp:lastModifiedBy>
  <cp:revision>69</cp:revision>
  <dcterms:created xsi:type="dcterms:W3CDTF">2023-04-03T08:46:00Z</dcterms:created>
  <dcterms:modified xsi:type="dcterms:W3CDTF">2023-05-14T21:00:00Z</dcterms:modified>
</cp:coreProperties>
</file>